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4D" w:rsidRPr="00AD79E3" w:rsidRDefault="006E414D" w:rsidP="006E414D">
      <w:pPr>
        <w:jc w:val="center"/>
        <w:rPr>
          <w:rFonts w:ascii="Book Antiqua" w:hAnsi="Book Antiqua" w:cs="Book Antiqua"/>
          <w:b/>
          <w:color w:val="000000"/>
        </w:rPr>
      </w:pPr>
      <w:r w:rsidRPr="00AD79E3">
        <w:rPr>
          <w:noProof/>
          <w:color w:val="000000"/>
          <w:lang w:eastAsia="sq-AL"/>
        </w:rPr>
        <w:drawing>
          <wp:anchor distT="0" distB="0" distL="114300" distR="114300" simplePos="0" relativeHeight="251659264" behindDoc="1" locked="0" layoutInCell="1" allowOverlap="1" wp14:anchorId="43D6B228" wp14:editId="1E7D79FB">
            <wp:simplePos x="0" y="0"/>
            <wp:positionH relativeFrom="column">
              <wp:posOffset>2580640</wp:posOffset>
            </wp:positionH>
            <wp:positionV relativeFrom="paragraph">
              <wp:posOffset>24130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4D" w:rsidRPr="00AD79E3" w:rsidRDefault="006E414D" w:rsidP="006E414D">
      <w:pPr>
        <w:jc w:val="center"/>
        <w:rPr>
          <w:rFonts w:ascii="Book Antiqua" w:hAnsi="Book Antiqua" w:cs="Book Antiqua"/>
          <w:b/>
          <w:color w:val="000000"/>
        </w:rPr>
      </w:pPr>
    </w:p>
    <w:p w:rsidR="006E414D" w:rsidRPr="00AD79E3" w:rsidRDefault="006E414D" w:rsidP="006E414D">
      <w:pPr>
        <w:jc w:val="center"/>
        <w:rPr>
          <w:rFonts w:ascii="Book Antiqua" w:hAnsi="Book Antiqua" w:cs="Book Antiqua"/>
          <w:b/>
          <w:color w:val="000000"/>
        </w:rPr>
      </w:pPr>
    </w:p>
    <w:p w:rsidR="006E414D" w:rsidRPr="00AD79E3" w:rsidRDefault="006E414D" w:rsidP="006E414D">
      <w:pPr>
        <w:jc w:val="center"/>
        <w:rPr>
          <w:rFonts w:ascii="Book Antiqua" w:hAnsi="Book Antiqua" w:cs="Book Antiqua"/>
          <w:b/>
          <w:color w:val="000000"/>
        </w:rPr>
      </w:pPr>
    </w:p>
    <w:p w:rsidR="006E414D" w:rsidRPr="00AD79E3" w:rsidRDefault="006E414D" w:rsidP="006E414D">
      <w:pPr>
        <w:spacing w:line="240" w:lineRule="auto"/>
        <w:jc w:val="center"/>
        <w:rPr>
          <w:rFonts w:ascii="Book Antiqua" w:eastAsia="Batang" w:hAnsi="Book Antiqua"/>
          <w:b/>
          <w:bCs/>
          <w:color w:val="000000"/>
          <w:sz w:val="32"/>
          <w:szCs w:val="32"/>
        </w:rPr>
      </w:pPr>
      <w:bookmarkStart w:id="0" w:name="OLE_LINK3"/>
      <w:proofErr w:type="spellStart"/>
      <w:r w:rsidRPr="00AD79E3">
        <w:rPr>
          <w:rFonts w:ascii="Book Antiqua" w:hAnsi="Book Antiqua" w:cs="Book Antiqua"/>
          <w:b/>
          <w:bCs/>
          <w:color w:val="000000"/>
          <w:sz w:val="32"/>
          <w:szCs w:val="32"/>
        </w:rPr>
        <w:t>Republika</w:t>
      </w:r>
      <w:proofErr w:type="spellEnd"/>
      <w:r w:rsidRPr="00AD79E3">
        <w:rPr>
          <w:rFonts w:ascii="Book Antiqua" w:hAnsi="Book Antiqua" w:cs="Book Antiqua"/>
          <w:b/>
          <w:bCs/>
          <w:color w:val="000000"/>
          <w:sz w:val="32"/>
          <w:szCs w:val="32"/>
        </w:rPr>
        <w:t xml:space="preserve"> e </w:t>
      </w:r>
      <w:proofErr w:type="spellStart"/>
      <w:r w:rsidRPr="00AD79E3">
        <w:rPr>
          <w:rFonts w:ascii="Book Antiqua" w:hAnsi="Book Antiqua" w:cs="Book Antiqua"/>
          <w:b/>
          <w:bCs/>
          <w:color w:val="000000"/>
          <w:sz w:val="32"/>
          <w:szCs w:val="32"/>
        </w:rPr>
        <w:t>Kosovës</w:t>
      </w:r>
      <w:proofErr w:type="spellEnd"/>
    </w:p>
    <w:p w:rsidR="006E414D" w:rsidRPr="00AD79E3" w:rsidRDefault="006E414D" w:rsidP="006E414D">
      <w:pPr>
        <w:spacing w:line="240" w:lineRule="auto"/>
        <w:jc w:val="center"/>
        <w:rPr>
          <w:rFonts w:ascii="Book Antiqua" w:hAnsi="Book Antiqua" w:cs="Book Antiqua"/>
          <w:b/>
          <w:bCs/>
          <w:color w:val="000000"/>
          <w:sz w:val="26"/>
          <w:szCs w:val="26"/>
        </w:rPr>
      </w:pPr>
      <w:proofErr w:type="spellStart"/>
      <w:r w:rsidRPr="00AD79E3">
        <w:rPr>
          <w:rFonts w:ascii="Book Antiqua" w:eastAsia="Batang" w:hAnsi="Book Antiqua" w:cs="Book Antiqua"/>
          <w:b/>
          <w:bCs/>
          <w:color w:val="000000"/>
          <w:sz w:val="26"/>
          <w:szCs w:val="26"/>
        </w:rPr>
        <w:t>Republika</w:t>
      </w:r>
      <w:proofErr w:type="spellEnd"/>
      <w:r w:rsidRPr="00AD79E3">
        <w:rPr>
          <w:rFonts w:ascii="Book Antiqua" w:eastAsia="Batang" w:hAnsi="Book Antiqua" w:cs="Book Antiqua"/>
          <w:b/>
          <w:bCs/>
          <w:color w:val="000000"/>
          <w:sz w:val="26"/>
          <w:szCs w:val="26"/>
        </w:rPr>
        <w:t xml:space="preserve"> Kosova </w:t>
      </w:r>
      <w:r w:rsidRPr="00AD79E3">
        <w:rPr>
          <w:rFonts w:ascii="Book Antiqua" w:hAnsi="Book Antiqua" w:cs="Book Antiqua"/>
          <w:b/>
          <w:bCs/>
          <w:i/>
          <w:iCs/>
          <w:color w:val="000000"/>
        </w:rPr>
        <w:t>–</w:t>
      </w:r>
      <w:r w:rsidRPr="00AD79E3">
        <w:rPr>
          <w:rFonts w:ascii="Book Antiqua" w:eastAsia="Batang" w:hAnsi="Book Antiqua" w:cs="Book Antiqua"/>
          <w:b/>
          <w:bCs/>
          <w:color w:val="000000"/>
          <w:sz w:val="26"/>
          <w:szCs w:val="26"/>
        </w:rPr>
        <w:t xml:space="preserve"> </w:t>
      </w:r>
      <w:r w:rsidRPr="00AD79E3">
        <w:rPr>
          <w:rFonts w:ascii="Book Antiqua" w:hAnsi="Book Antiqua" w:cs="Book Antiqua"/>
          <w:b/>
          <w:bCs/>
          <w:color w:val="000000"/>
          <w:sz w:val="26"/>
          <w:szCs w:val="26"/>
        </w:rPr>
        <w:t>Republic of Kosovo</w:t>
      </w:r>
    </w:p>
    <w:p w:rsidR="006E414D" w:rsidRPr="00AD79E3" w:rsidRDefault="006E414D" w:rsidP="006E414D">
      <w:pPr>
        <w:spacing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</w:rPr>
      </w:pPr>
      <w:proofErr w:type="spellStart"/>
      <w:r w:rsidRPr="00AD79E3">
        <w:rPr>
          <w:rFonts w:ascii="Book Antiqua" w:hAnsi="Book Antiqua" w:cs="Book Antiqua"/>
          <w:b/>
          <w:bCs/>
          <w:i/>
          <w:iCs/>
          <w:color w:val="000000"/>
        </w:rPr>
        <w:t>Qeveria</w:t>
      </w:r>
      <w:proofErr w:type="spellEnd"/>
      <w:r w:rsidRPr="00AD79E3">
        <w:rPr>
          <w:rFonts w:ascii="Book Antiqua" w:hAnsi="Book Antiqua" w:cs="Book Antiqua"/>
          <w:b/>
          <w:bCs/>
          <w:i/>
          <w:iCs/>
          <w:color w:val="000000"/>
        </w:rPr>
        <w:t xml:space="preserve"> – </w:t>
      </w:r>
      <w:proofErr w:type="spellStart"/>
      <w:r w:rsidRPr="00AD79E3">
        <w:rPr>
          <w:rFonts w:ascii="Book Antiqua" w:hAnsi="Book Antiqua" w:cs="Book Antiqua"/>
          <w:b/>
          <w:bCs/>
          <w:i/>
          <w:iCs/>
          <w:color w:val="000000"/>
        </w:rPr>
        <w:t>Vlada</w:t>
      </w:r>
      <w:proofErr w:type="spellEnd"/>
      <w:r w:rsidRPr="00AD79E3">
        <w:rPr>
          <w:rFonts w:ascii="Book Antiqua" w:hAnsi="Book Antiqua" w:cs="Book Antiqua"/>
          <w:b/>
          <w:bCs/>
          <w:i/>
          <w:iCs/>
          <w:color w:val="000000"/>
        </w:rPr>
        <w:t xml:space="preserve"> – Government</w:t>
      </w:r>
      <w:bookmarkEnd w:id="0"/>
    </w:p>
    <w:p w:rsidR="006E414D" w:rsidRPr="00AD79E3" w:rsidRDefault="006E414D" w:rsidP="006E414D">
      <w:pPr>
        <w:spacing w:line="240" w:lineRule="auto"/>
        <w:jc w:val="center"/>
        <w:rPr>
          <w:rFonts w:ascii="Book Antiqua" w:hAnsi="Book Antiqua" w:cs="Book Antiqua"/>
          <w:b/>
          <w:color w:val="000000"/>
        </w:rPr>
      </w:pPr>
      <w:proofErr w:type="spellStart"/>
      <w:r w:rsidRPr="00AD79E3">
        <w:rPr>
          <w:rFonts w:ascii="Book Antiqua" w:hAnsi="Book Antiqua" w:cs="Book Antiqua"/>
          <w:b/>
          <w:color w:val="000000"/>
        </w:rPr>
        <w:t>Ministria</w:t>
      </w:r>
      <w:proofErr w:type="spellEnd"/>
      <w:r w:rsidRPr="00AD79E3">
        <w:rPr>
          <w:rFonts w:ascii="Book Antiqua" w:hAnsi="Book Antiqua" w:cs="Book Antiqua"/>
          <w:b/>
          <w:color w:val="000000"/>
        </w:rPr>
        <w:t xml:space="preserve"> e </w:t>
      </w:r>
      <w:proofErr w:type="spellStart"/>
      <w:r w:rsidRPr="00AD79E3">
        <w:rPr>
          <w:rFonts w:ascii="Book Antiqua" w:hAnsi="Book Antiqua" w:cs="Book Antiqua"/>
          <w:b/>
          <w:color w:val="000000"/>
        </w:rPr>
        <w:t>Drejtësisë</w:t>
      </w:r>
      <w:proofErr w:type="spellEnd"/>
      <w:r w:rsidRPr="00AD79E3">
        <w:rPr>
          <w:rFonts w:ascii="Book Antiqua" w:hAnsi="Book Antiqua" w:cs="Book Antiqua"/>
          <w:b/>
          <w:color w:val="000000"/>
        </w:rPr>
        <w:t xml:space="preserve"> </w:t>
      </w:r>
      <w:r w:rsidRPr="00AD79E3">
        <w:rPr>
          <w:rFonts w:ascii="Book Antiqua" w:hAnsi="Book Antiqua" w:cs="Book Antiqua"/>
          <w:b/>
          <w:bCs/>
          <w:i/>
          <w:iCs/>
          <w:color w:val="000000"/>
        </w:rPr>
        <w:t xml:space="preserve">– </w:t>
      </w:r>
      <w:proofErr w:type="spellStart"/>
      <w:r w:rsidRPr="00AD79E3">
        <w:rPr>
          <w:rFonts w:ascii="Book Antiqua" w:hAnsi="Book Antiqua" w:cs="Book Antiqua"/>
          <w:b/>
          <w:color w:val="000000"/>
        </w:rPr>
        <w:t>Ministarstvo</w:t>
      </w:r>
      <w:proofErr w:type="spellEnd"/>
      <w:r w:rsidRPr="00AD79E3">
        <w:rPr>
          <w:rFonts w:ascii="Book Antiqua" w:hAnsi="Book Antiqua" w:cs="Book Antiqua"/>
          <w:b/>
          <w:color w:val="000000"/>
        </w:rPr>
        <w:t xml:space="preserve"> </w:t>
      </w:r>
      <w:proofErr w:type="spellStart"/>
      <w:r w:rsidRPr="00AD79E3">
        <w:rPr>
          <w:rFonts w:ascii="Book Antiqua" w:hAnsi="Book Antiqua" w:cs="Book Antiqua"/>
          <w:b/>
          <w:color w:val="000000"/>
        </w:rPr>
        <w:t>Pravde</w:t>
      </w:r>
      <w:proofErr w:type="spellEnd"/>
      <w:r w:rsidRPr="00AD79E3">
        <w:rPr>
          <w:rFonts w:ascii="Book Antiqua" w:hAnsi="Book Antiqua" w:cs="Book Antiqua"/>
          <w:b/>
          <w:color w:val="000000"/>
        </w:rPr>
        <w:t xml:space="preserve"> </w:t>
      </w:r>
      <w:r w:rsidRPr="00AD79E3">
        <w:rPr>
          <w:rFonts w:ascii="Book Antiqua" w:hAnsi="Book Antiqua" w:cs="Book Antiqua"/>
          <w:b/>
          <w:bCs/>
          <w:i/>
          <w:iCs/>
          <w:color w:val="000000"/>
        </w:rPr>
        <w:t xml:space="preserve">– </w:t>
      </w:r>
      <w:r w:rsidRPr="00AD79E3">
        <w:rPr>
          <w:rFonts w:ascii="Book Antiqua" w:hAnsi="Book Antiqua" w:cs="Book Antiqua"/>
          <w:b/>
          <w:color w:val="000000"/>
        </w:rPr>
        <w:t>Ministry of Justice</w:t>
      </w:r>
    </w:p>
    <w:p w:rsidR="006E414D" w:rsidRDefault="006E414D" w:rsidP="00F64DF3">
      <w:pPr>
        <w:spacing w:line="240" w:lineRule="auto"/>
        <w:jc w:val="center"/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</w:pPr>
    </w:p>
    <w:p w:rsidR="006E414D" w:rsidRPr="006E414D" w:rsidRDefault="006E414D" w:rsidP="00F64DF3">
      <w:pPr>
        <w:spacing w:line="240" w:lineRule="auto"/>
        <w:jc w:val="center"/>
        <w:rPr>
          <w:rFonts w:ascii="Book Antiqua" w:hAnsi="Book Antiqua" w:cstheme="minorHAnsi"/>
          <w:b/>
          <w:color w:val="0D0D0D" w:themeColor="text1" w:themeTint="F2"/>
          <w:sz w:val="32"/>
          <w:szCs w:val="32"/>
          <w:lang w:val="sq-AL"/>
        </w:rPr>
      </w:pPr>
    </w:p>
    <w:p w:rsidR="00505269" w:rsidRPr="006E414D" w:rsidRDefault="00F64DF3" w:rsidP="00F64DF3">
      <w:pPr>
        <w:spacing w:line="240" w:lineRule="auto"/>
        <w:jc w:val="center"/>
        <w:rPr>
          <w:rFonts w:ascii="Book Antiqua" w:hAnsi="Book Antiqua" w:cstheme="minorHAnsi"/>
          <w:b/>
          <w:color w:val="0D0D0D" w:themeColor="text1" w:themeTint="F2"/>
          <w:sz w:val="32"/>
          <w:szCs w:val="32"/>
          <w:lang w:val="sq-AL"/>
        </w:rPr>
      </w:pPr>
      <w:r w:rsidRPr="006E414D">
        <w:rPr>
          <w:rFonts w:ascii="Book Antiqua" w:hAnsi="Book Antiqua" w:cstheme="minorHAnsi"/>
          <w:b/>
          <w:color w:val="0D0D0D" w:themeColor="text1" w:themeTint="F2"/>
          <w:sz w:val="32"/>
          <w:szCs w:val="32"/>
          <w:lang w:val="sq-AL"/>
        </w:rPr>
        <w:t xml:space="preserve">DRAFT- KODI PENAL </w:t>
      </w:r>
      <w:bookmarkStart w:id="1" w:name="_GoBack"/>
      <w:bookmarkEnd w:id="1"/>
    </w:p>
    <w:p w:rsidR="006E414D" w:rsidRDefault="006E414D" w:rsidP="00F64DF3">
      <w:pPr>
        <w:pStyle w:val="NoSpacing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</w:p>
    <w:p w:rsidR="005C7E9E" w:rsidRPr="00F64DF3" w:rsidRDefault="00F64DF3" w:rsidP="00F64DF3">
      <w:pPr>
        <w:pStyle w:val="NoSpacing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Të nderuar/a;</w:t>
      </w:r>
    </w:p>
    <w:p w:rsidR="005C7E9E" w:rsidRPr="00F64DF3" w:rsidRDefault="005C7E9E" w:rsidP="00F64DF3">
      <w:pPr>
        <w:spacing w:after="0" w:line="240" w:lineRule="auto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</w:p>
    <w:p w:rsidR="005C7E9E" w:rsidRPr="00F64DF3" w:rsidRDefault="00F64DF3" w:rsidP="00F64DF3">
      <w:pPr>
        <w:spacing w:after="0" w:line="240" w:lineRule="auto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  <w:r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Pas një punë intensive disamujore, Ministria e Drejtësisë prezanton për konsultime Projekt - Kodin</w:t>
      </w:r>
      <w:r w:rsidR="005C7E9E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Penal t</w:t>
      </w:r>
      <w:r w:rsidR="00004857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ë</w:t>
      </w:r>
      <w:r w:rsidR="005C7E9E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Republik</w:t>
      </w:r>
      <w:r w:rsidR="00004857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ë</w:t>
      </w:r>
      <w:r w:rsidR="005C7E9E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s s</w:t>
      </w:r>
      <w:r w:rsidR="00004857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ë</w:t>
      </w:r>
      <w:r w:rsidR="005C7E9E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Kosov</w:t>
      </w:r>
      <w:r w:rsidR="00004857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ë</w:t>
      </w:r>
      <w:r w:rsidR="005C7E9E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s.</w:t>
      </w:r>
    </w:p>
    <w:p w:rsidR="005C7E9E" w:rsidRPr="00F64DF3" w:rsidRDefault="005C7E9E" w:rsidP="00F64DF3">
      <w:pPr>
        <w:spacing w:after="0" w:line="240" w:lineRule="auto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</w:p>
    <w:p w:rsidR="005C7E9E" w:rsidRPr="00F64DF3" w:rsidRDefault="005C7E9E" w:rsidP="00F64DF3">
      <w:pPr>
        <w:spacing w:after="0" w:line="240" w:lineRule="auto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  <w:r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Krij</w:t>
      </w:r>
      <w:r w:rsidR="00F07D0A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imi i një sistemi të drejtësisë, </w:t>
      </w:r>
      <w:r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të paanshëm, transparent, llogaridhënës dhe para se gjitha</w:t>
      </w:r>
      <w:r w:rsidR="00DD7576"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sh</w:t>
      </w:r>
      <w:r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të përgjegjshëm mbetet prioritet i lartë i Ministrisë</w:t>
      </w:r>
      <w:r w:rsid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s</w:t>
      </w:r>
      <w:r w:rsidRP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>ë</w:t>
      </w:r>
      <w:r w:rsidR="00F64DF3"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  <w:t xml:space="preserve"> Drejtësisë. </w:t>
      </w:r>
    </w:p>
    <w:p w:rsidR="005C7E9E" w:rsidRPr="00F64DF3" w:rsidRDefault="005C7E9E" w:rsidP="00F64DF3">
      <w:pPr>
        <w:spacing w:after="0" w:line="240" w:lineRule="auto"/>
        <w:ind w:firstLine="720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</w:p>
    <w:p w:rsidR="005C7E9E" w:rsidRPr="00F64DF3" w:rsidRDefault="005A73AC" w:rsidP="00F64DF3">
      <w:pPr>
        <w:pStyle w:val="NoSpacing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Në këtë </w:t>
      </w:r>
      <w:r w:rsid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aspekt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, identifikimi i veprimeve </w:t>
      </w:r>
      <w:proofErr w:type="spellStart"/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prioritare</w:t>
      </w:r>
      <w:proofErr w:type="spellEnd"/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në raport me hartimin, plotësimin dhe ndryshimin e politikave, rrjedhimisht akteve ligjore dhe nënligjore brenda mandatit kushtetues dhe ligjor të Ministrisë së Drejtësisë, është në harmoni të plotë edhe me nevojën për adresimin e gjetjeve të Raportit të Progresit të vitit 2016 të Komisionit Evropian, obligimet institucionale p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zbatimin e Planit Komb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tar p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zbatimin e MSA-s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, si dhe 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pajtim me objektivat strategjike t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Qeveris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Republik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 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Kosov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 dhe Ministris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Drejt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sis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.</w:t>
      </w:r>
    </w:p>
    <w:p w:rsidR="005A73AC" w:rsidRPr="00F64DF3" w:rsidRDefault="005A73AC" w:rsidP="00F64DF3">
      <w:pPr>
        <w:pStyle w:val="NoSpacing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</w:p>
    <w:p w:rsidR="005C7E9E" w:rsidRPr="00F64DF3" w:rsidRDefault="005C7E9E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Plotësimet dhe ndryshimet e nevojshme dhe të domosdoshme të legjislacionit të fushës, 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kan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nj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q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llim dhe t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="00F64D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vetëm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: 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të avancojnë dhe forcojnë sundimin e ligjit, forcimin dhe konsolidimin e mëtejmë të institucioneve gjyqësore të pavarura dhe </w:t>
      </w:r>
      <w:r w:rsid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efikase në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luftimin e dukurive negative si korrups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ioni dhe k</w:t>
      </w:r>
      <w:r w:rsidR="00D90D0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rimi i organizuar, parandalimi</w:t>
      </w:r>
      <w:r w:rsidR="00807D9E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</w:t>
      </w:r>
      <w:r w:rsidR="00D90D0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dhe luftimi</w:t>
      </w:r>
      <w:r w:rsidR="00807D9E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e</w:t>
      </w:r>
      <w:r w:rsidR="005A73AC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terrorizmit dhe </w:t>
      </w:r>
      <w:r w:rsidR="00D90D0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ekstremizmit, si dhe sigurimi</w:t>
      </w:r>
      <w:r w:rsidR="00807D9E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e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qasjes së drejtë dhe efektive në sistemin e drejtësisë për</w:t>
      </w:r>
      <w:r w:rsidR="00D90D0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të gjithë qytetarët pa dallim.</w:t>
      </w:r>
    </w:p>
    <w:p w:rsidR="00505269" w:rsidRPr="00F64DF3" w:rsidRDefault="00505269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Projekt–Kodi Penal i Republikës së Kosovës,</w:t>
      </w:r>
      <w:r w:rsidR="00B46D4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="004F782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bazohet në parimet kushtetuese të shtetit të së drejtës, të barazisë përpara ligjit, të drejtësisë në caktimin e fajësisë dhe të dënimit, si </w:t>
      </w:r>
      <w:r w:rsidR="004F782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lastRenderedPageBreak/>
        <w:t xml:space="preserve">dhe të humanizmit, si dhe 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është hartu</w:t>
      </w:r>
      <w:r w:rsidR="00B46D4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ar në përputhje </w:t>
      </w:r>
      <w:r w:rsidR="004F782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me </w:t>
      </w:r>
      <w:r w:rsidR="00B46D4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standarde</w:t>
      </w:r>
      <w:r w:rsidR="004F782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t</w:t>
      </w:r>
      <w:r w:rsidR="00B46D4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 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evropiane dhe shënon një hap përpara në reformimin e drejtësisë në Republikën e Kosovës. </w:t>
      </w:r>
    </w:p>
    <w:p w:rsidR="000048EB" w:rsidRPr="00F64DF3" w:rsidRDefault="000048EB" w:rsidP="00F64DF3">
      <w:pPr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rveç </w:t>
      </w:r>
      <w:proofErr w:type="spellStart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amandamenteve</w:t>
      </w:r>
      <w:proofErr w:type="spellEnd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shumta teknike,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cilat do ta b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jn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pun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 e gjyqtar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ve dhe prokuror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ve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Kosov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s m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efektive, nga propozimet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r ta ndryshuar Kodin Penal, </w:t>
      </w:r>
      <w:r w:rsidR="00C92623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vihen në pah tri (3) tema të gjëra:</w:t>
      </w:r>
    </w:p>
    <w:p w:rsidR="00EC29E9" w:rsidRPr="00F64DF3" w:rsidRDefault="00EC29E9" w:rsidP="00F64DF3">
      <w:pPr>
        <w:spacing w:line="240" w:lineRule="auto"/>
        <w:jc w:val="both"/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b/>
          <w:i/>
          <w:color w:val="0D0D0D" w:themeColor="text1" w:themeTint="F2"/>
          <w:sz w:val="24"/>
          <w:szCs w:val="24"/>
          <w:u w:val="single"/>
          <w:lang w:val="sq-AL"/>
        </w:rPr>
        <w:t>E para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, masat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kund</w:t>
      </w:r>
      <w:r w:rsidR="00863E35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r krimit t</w:t>
      </w:r>
      <w:r w:rsidR="00863E35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organizuar dhe korrupsionit.</w:t>
      </w:r>
    </w:p>
    <w:p w:rsidR="00F07D0A" w:rsidRPr="00F64DF3" w:rsidRDefault="00EC29E9" w:rsidP="00F64DF3">
      <w:pPr>
        <w:spacing w:line="240" w:lineRule="auto"/>
        <w:jc w:val="both"/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b/>
          <w:i/>
          <w:color w:val="0D0D0D" w:themeColor="text1" w:themeTint="F2"/>
          <w:sz w:val="24"/>
          <w:szCs w:val="24"/>
          <w:u w:val="single"/>
          <w:lang w:val="sq-AL"/>
        </w:rPr>
        <w:t>E dyta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, 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masat p</w:t>
      </w:r>
      <w:r w:rsid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r 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mbrojtjen 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dhe promovimin e t</w:t>
      </w:r>
      <w:r w:rsid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drejtave t</w:t>
      </w:r>
      <w:r w:rsid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njeriut.</w:t>
      </w:r>
    </w:p>
    <w:p w:rsidR="00F07D0A" w:rsidRPr="00F64DF3" w:rsidRDefault="00EC29E9" w:rsidP="00F64DF3">
      <w:pPr>
        <w:spacing w:line="240" w:lineRule="auto"/>
        <w:jc w:val="both"/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b/>
          <w:i/>
          <w:color w:val="0D0D0D" w:themeColor="text1" w:themeTint="F2"/>
          <w:sz w:val="24"/>
          <w:szCs w:val="24"/>
          <w:u w:val="single"/>
          <w:lang w:val="sq-AL"/>
        </w:rPr>
        <w:t>E treta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, masat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kund</w:t>
      </w:r>
      <w:r w:rsidR="00863E35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r terrorizmit 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dhe parandalimit t</w:t>
      </w:r>
      <w:r w:rsid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i/>
          <w:color w:val="0D0D0D" w:themeColor="text1" w:themeTint="F2"/>
          <w:sz w:val="24"/>
          <w:szCs w:val="24"/>
          <w:lang w:val="sq-AL"/>
        </w:rPr>
        <w:t xml:space="preserve"> tij.</w:t>
      </w:r>
    </w:p>
    <w:p w:rsidR="00EC29E9" w:rsidRPr="00F64DF3" w:rsidRDefault="002C3FBF" w:rsidP="00F64DF3">
      <w:pPr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Sa i p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rket 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veprave q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hyjn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kuad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t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</w:t>
      </w:r>
      <w:r w:rsidR="002D5609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k</w:t>
      </w:r>
      <w:r w:rsidR="00EC29E9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rimi</w:t>
      </w:r>
      <w:r w:rsidR="00025580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t t</w:t>
      </w:r>
      <w:r w:rsidR="00004857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 xml:space="preserve"> organizuar dhe korrupsioni</w:t>
      </w:r>
      <w:r w:rsidR="00025580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t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, jan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rishikuar dhe hartuar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mb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dhjet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F07D0A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(19)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nene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mund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suar ndjekjen e aktivitetit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id</w:t>
      </w:r>
      <w:r w:rsidR="00C92623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e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ntifikuar kriminal kur ndodh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kontekst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krimit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organizuar. K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to nene mbulojn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nj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s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aktivitetesh, nga </w:t>
      </w:r>
      <w:proofErr w:type="spellStart"/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kontrabandimi</w:t>
      </w:r>
      <w:proofErr w:type="spellEnd"/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e </w:t>
      </w:r>
      <w:proofErr w:type="spellStart"/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shkret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rimi</w:t>
      </w:r>
      <w:proofErr w:type="spellEnd"/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i pyjeve e deri t</w:t>
      </w:r>
      <w:r w:rsidR="00C92623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e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mashtrimi dhe prodhimi i produkteve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EC29E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mshme.</w:t>
      </w:r>
      <w:r w:rsidR="00A74F7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</w:t>
      </w:r>
    </w:p>
    <w:p w:rsidR="0077123B" w:rsidRPr="00F64DF3" w:rsidRDefault="00C92623" w:rsidP="00F64DF3">
      <w:pPr>
        <w:tabs>
          <w:tab w:val="center" w:pos="5035"/>
        </w:tabs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ab/>
      </w:r>
      <w:r w:rsidR="0002558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Gjithashtu, n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dryshimet rrisin afatet e parashkrimit </w:t>
      </w:r>
      <w:r w:rsidR="002C3FB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p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C3FB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k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C3FB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to vepra 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dhe parashohin dispozita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nd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rprerjen e afatit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shkaqe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caktuara. Kjo u jep gjykatave m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shum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koh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rfunduar rastet q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kan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b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jn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me krim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77123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organizuar dhe korrupsion.</w:t>
      </w:r>
      <w:r w:rsidR="00A74F7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</w:t>
      </w:r>
    </w:p>
    <w:p w:rsidR="008F44BE" w:rsidRPr="00F64DF3" w:rsidRDefault="00025580" w:rsidP="00F64DF3">
      <w:pPr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Po ashtu, jan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hartuar dhe propozuar </w:t>
      </w:r>
      <w:proofErr w:type="spellStart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amandamentet</w:t>
      </w:r>
      <w:proofErr w:type="spellEnd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e reja q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i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ndalojn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personit zyrtar ushtrimin e funksionit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administrat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 publike apo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sh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rbim</w:t>
      </w:r>
      <w:r w:rsidR="00C92623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in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publik deri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10 vjet nga aktgjykimi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8F44B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nues. 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Kjo dispozit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parasheh q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kur zyrtari publik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nohet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vep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penale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korrupsionit, atij t’i ndalohet ushtrimi i funksioneve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sh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rbim publik deri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dhjet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B361B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vjet.</w:t>
      </w:r>
    </w:p>
    <w:p w:rsidR="002D5609" w:rsidRPr="00F64DF3" w:rsidRDefault="00975BF9" w:rsidP="00F64DF3">
      <w:pPr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nimet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vepra penale q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rlidhen me </w:t>
      </w:r>
      <w:r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korrupsion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jan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b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</w:t>
      </w:r>
      <w:proofErr w:type="spellStart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kumulative</w:t>
      </w:r>
      <w:proofErr w:type="spellEnd"/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vend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C3FBF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alternative dhe 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aty ku ka qen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e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rshtatshme,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nimet jan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rritur. Asnj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person i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nuar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vepra penale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korrupsionit nuk do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merr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nim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but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. K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to ndryshime kan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qen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nevojshme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demonstruar p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rkushtimin ton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kund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r korrupsionit publik dhe d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30156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nimeve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cilat u shqiptohen personave.</w:t>
      </w:r>
    </w:p>
    <w:p w:rsidR="00975BF9" w:rsidRPr="00F64DF3" w:rsidRDefault="00025580" w:rsidP="00F64DF3">
      <w:pPr>
        <w:spacing w:line="240" w:lineRule="auto"/>
        <w:jc w:val="both"/>
        <w:rPr>
          <w:rFonts w:ascii="Book Antiqua" w:hAnsi="Book Antiqua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Sa i p</w:t>
      </w:r>
      <w:r w:rsidR="00004857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 xml:space="preserve">rket </w:t>
      </w:r>
      <w:r w:rsidR="002C3FBF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Konfiskimi</w:t>
      </w:r>
      <w:r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t t</w:t>
      </w:r>
      <w:r w:rsidR="00004857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>ë</w:t>
      </w:r>
      <w:r w:rsidR="00975BF9" w:rsidRPr="00F64DF3">
        <w:rPr>
          <w:rFonts w:ascii="Book Antiqua" w:hAnsi="Book Antiqua"/>
          <w:b/>
          <w:color w:val="0D0D0D" w:themeColor="text1" w:themeTint="F2"/>
          <w:sz w:val="24"/>
          <w:szCs w:val="24"/>
          <w:lang w:val="sq-AL"/>
        </w:rPr>
        <w:t xml:space="preserve"> pasurive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dhe dobis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pasurore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2D560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fituar </w:t>
      </w:r>
      <w:r w:rsidR="001013C0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nga 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zyrtar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t e korruptuar dhe personat e </w:t>
      </w:r>
      <w:r w:rsidR="0030156E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përfshirë në </w:t>
      </w:r>
      <w:r w:rsidR="00975BF9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krim t</w:t>
      </w:r>
      <w:r w:rsidR="00863E35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organizuar jan</w:t>
      </w:r>
      <w:r w:rsidR="00004857"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/>
          <w:color w:val="0D0D0D" w:themeColor="text1" w:themeTint="F2"/>
          <w:sz w:val="24"/>
          <w:szCs w:val="24"/>
          <w:lang w:val="sq-AL"/>
        </w:rPr>
        <w:t xml:space="preserve"> propozuar ndryshime konkrete.</w:t>
      </w:r>
    </w:p>
    <w:p w:rsidR="003A3205" w:rsidRPr="00F64DF3" w:rsidRDefault="00DD7576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Sa i p</w:t>
      </w:r>
      <w:r w:rsidR="00004857"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rket t</w:t>
      </w:r>
      <w:r w:rsidR="00004857"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 xml:space="preserve"> drejtave t</w:t>
      </w:r>
      <w:r w:rsidR="00004857"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 xml:space="preserve"> njeriut,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dryshimet e plot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simet e reja parashohin nene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krimet e urrejtjes dhe 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nime specifike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ngritura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disa vepra penale q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jan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motivuara nga urrejtja ndaj grupeve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C69C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caktuara.  </w:t>
      </w:r>
    </w:p>
    <w:p w:rsidR="00E57447" w:rsidRPr="00F64DF3" w:rsidRDefault="00DD7576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Gjithashtu, jan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hartuar nene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reja q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trajtojn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mbrojtjen e grave dhe dhun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brenda marr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dh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8C00F3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nies familjare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, si dhe </w:t>
      </w:r>
      <w:r w:rsidR="000B2FB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kund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r ngacmimit seksual. </w:t>
      </w:r>
    </w:p>
    <w:p w:rsidR="000B46E3" w:rsidRPr="00F64DF3" w:rsidRDefault="00DD7576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Po ashtu jan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rritur edhe 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nimit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kryer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sit e veprave penale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rfshir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vepr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penale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trafikimit me njer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z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shfryt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zim seksual dhe rritja e 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nimit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veprat penale kund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f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mij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ve dhe viktimave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7C60F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="00DB199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cenueshme</w:t>
      </w:r>
      <w:r w:rsidR="00F918A9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.  </w:t>
      </w:r>
    </w:p>
    <w:p w:rsidR="00DD7576" w:rsidRPr="00F64DF3" w:rsidRDefault="00DD7576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lastRenderedPageBreak/>
        <w:t xml:space="preserve">Lidhur me </w:t>
      </w:r>
      <w:r w:rsidR="00F64DF3"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>parandalimin</w:t>
      </w:r>
      <w:r w:rsidRPr="00F64DF3">
        <w:rPr>
          <w:rFonts w:ascii="Book Antiqua" w:hAnsi="Book Antiqua" w:cstheme="minorHAnsi"/>
          <w:b/>
          <w:color w:val="0D0D0D" w:themeColor="text1" w:themeTint="F2"/>
          <w:sz w:val="24"/>
          <w:szCs w:val="24"/>
          <w:lang w:val="sq-AL"/>
        </w:rPr>
        <w:t xml:space="preserve"> dhe luftimin e terrorizmit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, jan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hartuar dhe ndryshuar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mbi 20 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nene q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kan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b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jn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me terrorizmin 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dhe jan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pajtim me direktivat e fundit dhe praktikat e mira nd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rkomb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344CE6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tare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, q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nd</w:t>
      </w:r>
      <w:r w:rsidR="0000485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rlidhen me 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fush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e financimit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terrorizmit 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at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m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nyr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q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spastrojn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rrug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n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 ndjekje penale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atyre q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jan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p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rfshir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n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k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t</w:t>
      </w:r>
      <w:r w:rsidR="00630127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ë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aktivitet</w:t>
      </w:r>
      <w:r w:rsidR="005120A4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.</w:t>
      </w:r>
      <w:r w:rsidR="005127DA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 </w:t>
      </w:r>
    </w:p>
    <w:p w:rsidR="00B509FA" w:rsidRDefault="00B509FA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Ministria e Drejtësisë i mirëpret komentet apo propozimet eventuale në lidhje me </w:t>
      </w:r>
      <w:r w:rsidR="001013C0" w:rsidRPr="00F64DF3"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Projekt–Kodi Penal i Republikës së Kosovës </w:t>
      </w:r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dhe atë deri me datë 05.03.2018, në e-</w:t>
      </w:r>
      <w:proofErr w:type="spellStart"/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>mail</w:t>
      </w:r>
      <w:proofErr w:type="spellEnd"/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adresën: </w:t>
      </w:r>
      <w:hyperlink r:id="rId9" w:history="1">
        <w:r w:rsidRPr="008442BE">
          <w:rPr>
            <w:rStyle w:val="Hyperlink"/>
            <w:rFonts w:ascii="Book Antiqua" w:hAnsi="Book Antiqua" w:cstheme="minorHAnsi"/>
            <w:sz w:val="24"/>
            <w:szCs w:val="24"/>
            <w:lang w:val="sq-AL"/>
          </w:rPr>
          <w:t>floriana.rugova@rks-gov.net</w:t>
        </w:r>
      </w:hyperlink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 si dhe </w:t>
      </w:r>
      <w:hyperlink r:id="rId10" w:history="1">
        <w:r w:rsidRPr="008442BE">
          <w:rPr>
            <w:rStyle w:val="Hyperlink"/>
            <w:rFonts w:ascii="Book Antiqua" w:hAnsi="Book Antiqua" w:cstheme="minorHAnsi"/>
            <w:sz w:val="24"/>
            <w:szCs w:val="24"/>
            <w:lang w:val="sq-AL"/>
          </w:rPr>
          <w:t>Valmira.uka@rks-gov.net</w:t>
        </w:r>
      </w:hyperlink>
      <w:r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  <w:t xml:space="preserve">, </w:t>
      </w:r>
    </w:p>
    <w:p w:rsidR="00B509FA" w:rsidRDefault="00B509FA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</w:p>
    <w:p w:rsidR="00B509FA" w:rsidRDefault="00B509FA" w:rsidP="00F64DF3">
      <w:pPr>
        <w:spacing w:line="240" w:lineRule="auto"/>
        <w:jc w:val="both"/>
        <w:rPr>
          <w:rFonts w:ascii="Book Antiqua" w:hAnsi="Book Antiqua" w:cstheme="minorHAnsi"/>
          <w:color w:val="0D0D0D" w:themeColor="text1" w:themeTint="F2"/>
          <w:sz w:val="24"/>
          <w:szCs w:val="24"/>
          <w:lang w:val="sq-AL"/>
        </w:rPr>
      </w:pPr>
    </w:p>
    <w:p w:rsidR="00807D9E" w:rsidRPr="00F64DF3" w:rsidRDefault="00807D9E" w:rsidP="00F64DF3">
      <w:pPr>
        <w:pStyle w:val="NoSpacing"/>
        <w:jc w:val="both"/>
        <w:rPr>
          <w:rFonts w:ascii="Book Antiqua" w:eastAsia="Times New Roman" w:hAnsi="Book Antiqua" w:cstheme="minorHAnsi"/>
          <w:noProof/>
          <w:color w:val="0D0D0D" w:themeColor="text1" w:themeTint="F2"/>
          <w:sz w:val="24"/>
          <w:szCs w:val="24"/>
          <w:lang w:val="sq-AL" w:eastAsia="sr-Latn-CS"/>
        </w:rPr>
      </w:pPr>
    </w:p>
    <w:sectPr w:rsidR="00807D9E" w:rsidRPr="00F64DF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41" w:rsidRDefault="00640141" w:rsidP="006A5CB7">
      <w:pPr>
        <w:spacing w:after="0" w:line="240" w:lineRule="auto"/>
      </w:pPr>
      <w:r>
        <w:separator/>
      </w:r>
    </w:p>
  </w:endnote>
  <w:endnote w:type="continuationSeparator" w:id="0">
    <w:p w:rsidR="00640141" w:rsidRDefault="00640141" w:rsidP="006A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09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7DA" w:rsidRDefault="00512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7DA" w:rsidRDefault="00512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41" w:rsidRDefault="00640141" w:rsidP="006A5CB7">
      <w:pPr>
        <w:spacing w:after="0" w:line="240" w:lineRule="auto"/>
      </w:pPr>
      <w:r>
        <w:separator/>
      </w:r>
    </w:p>
  </w:footnote>
  <w:footnote w:type="continuationSeparator" w:id="0">
    <w:p w:rsidR="00640141" w:rsidRDefault="00640141" w:rsidP="006A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6063"/>
    <w:multiLevelType w:val="multilevel"/>
    <w:tmpl w:val="05AC0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E4CC7"/>
    <w:multiLevelType w:val="multilevel"/>
    <w:tmpl w:val="5D9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0D88"/>
    <w:multiLevelType w:val="multilevel"/>
    <w:tmpl w:val="B9F45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77702"/>
    <w:multiLevelType w:val="hybridMultilevel"/>
    <w:tmpl w:val="EF40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548B5"/>
    <w:multiLevelType w:val="multilevel"/>
    <w:tmpl w:val="01B49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D440A"/>
    <w:multiLevelType w:val="hybridMultilevel"/>
    <w:tmpl w:val="F2F0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361F"/>
    <w:multiLevelType w:val="hybridMultilevel"/>
    <w:tmpl w:val="966076DE"/>
    <w:lvl w:ilvl="0" w:tplc="66E861A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B7"/>
    <w:rsid w:val="00004857"/>
    <w:rsid w:val="000048EB"/>
    <w:rsid w:val="00025580"/>
    <w:rsid w:val="000B2FB6"/>
    <w:rsid w:val="000B46E3"/>
    <w:rsid w:val="000D493E"/>
    <w:rsid w:val="001013C0"/>
    <w:rsid w:val="00102742"/>
    <w:rsid w:val="00143F90"/>
    <w:rsid w:val="001500C1"/>
    <w:rsid w:val="001778F4"/>
    <w:rsid w:val="001F370D"/>
    <w:rsid w:val="00291ADF"/>
    <w:rsid w:val="002B361B"/>
    <w:rsid w:val="002C3FBF"/>
    <w:rsid w:val="002D5609"/>
    <w:rsid w:val="0030156E"/>
    <w:rsid w:val="00344CE6"/>
    <w:rsid w:val="003A3205"/>
    <w:rsid w:val="003C69C6"/>
    <w:rsid w:val="003D5E86"/>
    <w:rsid w:val="003E0162"/>
    <w:rsid w:val="00434C36"/>
    <w:rsid w:val="004E1A1C"/>
    <w:rsid w:val="004E34B4"/>
    <w:rsid w:val="004F7823"/>
    <w:rsid w:val="00505269"/>
    <w:rsid w:val="005120A4"/>
    <w:rsid w:val="005127DA"/>
    <w:rsid w:val="0056073F"/>
    <w:rsid w:val="0056291F"/>
    <w:rsid w:val="005A73AC"/>
    <w:rsid w:val="005C7E9E"/>
    <w:rsid w:val="005E5E11"/>
    <w:rsid w:val="005F0A57"/>
    <w:rsid w:val="005F3E2A"/>
    <w:rsid w:val="00626635"/>
    <w:rsid w:val="00630127"/>
    <w:rsid w:val="00640141"/>
    <w:rsid w:val="00661BBB"/>
    <w:rsid w:val="0066467D"/>
    <w:rsid w:val="006A2091"/>
    <w:rsid w:val="006A5CB7"/>
    <w:rsid w:val="006D0BF5"/>
    <w:rsid w:val="006E414D"/>
    <w:rsid w:val="006F71E6"/>
    <w:rsid w:val="00733896"/>
    <w:rsid w:val="00756A10"/>
    <w:rsid w:val="00765044"/>
    <w:rsid w:val="0077123B"/>
    <w:rsid w:val="007B163E"/>
    <w:rsid w:val="007B6C58"/>
    <w:rsid w:val="007C60FA"/>
    <w:rsid w:val="007D3E40"/>
    <w:rsid w:val="007E468E"/>
    <w:rsid w:val="00807D9E"/>
    <w:rsid w:val="008149FD"/>
    <w:rsid w:val="00863E35"/>
    <w:rsid w:val="008754A7"/>
    <w:rsid w:val="008C00F3"/>
    <w:rsid w:val="008F44BE"/>
    <w:rsid w:val="008F6225"/>
    <w:rsid w:val="008F7E4E"/>
    <w:rsid w:val="00924D31"/>
    <w:rsid w:val="009322B8"/>
    <w:rsid w:val="00966112"/>
    <w:rsid w:val="00975BF9"/>
    <w:rsid w:val="009B1281"/>
    <w:rsid w:val="00A05AF4"/>
    <w:rsid w:val="00A74F7F"/>
    <w:rsid w:val="00AE372C"/>
    <w:rsid w:val="00B10075"/>
    <w:rsid w:val="00B46D43"/>
    <w:rsid w:val="00B509FA"/>
    <w:rsid w:val="00B5518E"/>
    <w:rsid w:val="00BA2E4F"/>
    <w:rsid w:val="00BC1E80"/>
    <w:rsid w:val="00C87684"/>
    <w:rsid w:val="00C92623"/>
    <w:rsid w:val="00CA0FB2"/>
    <w:rsid w:val="00CB486D"/>
    <w:rsid w:val="00CE2DDA"/>
    <w:rsid w:val="00D20C83"/>
    <w:rsid w:val="00D4102F"/>
    <w:rsid w:val="00D675F4"/>
    <w:rsid w:val="00D8595A"/>
    <w:rsid w:val="00D90D06"/>
    <w:rsid w:val="00DA2119"/>
    <w:rsid w:val="00DB199A"/>
    <w:rsid w:val="00DD7576"/>
    <w:rsid w:val="00DF6036"/>
    <w:rsid w:val="00E57447"/>
    <w:rsid w:val="00EA04D2"/>
    <w:rsid w:val="00EA04DE"/>
    <w:rsid w:val="00EB4D48"/>
    <w:rsid w:val="00EC29E9"/>
    <w:rsid w:val="00F07D0A"/>
    <w:rsid w:val="00F22344"/>
    <w:rsid w:val="00F46F9E"/>
    <w:rsid w:val="00F54EA5"/>
    <w:rsid w:val="00F64DF3"/>
    <w:rsid w:val="00F918A9"/>
    <w:rsid w:val="00F92170"/>
    <w:rsid w:val="00F97294"/>
    <w:rsid w:val="00FE260A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1BAECC-3FF1-4594-A2D5-B212570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CB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Normal 1,List Paragraph 1,Akapit z listą BS,Paragrafi i listës1"/>
    <w:basedOn w:val="Normal"/>
    <w:link w:val="ListParagraphChar"/>
    <w:uiPriority w:val="34"/>
    <w:qFormat/>
    <w:rsid w:val="006A5C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5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CB7"/>
    <w:rPr>
      <w:vertAlign w:val="superscript"/>
    </w:rPr>
  </w:style>
  <w:style w:type="character" w:customStyle="1" w:styleId="ListParagraphChar">
    <w:name w:val="List Paragraph Char"/>
    <w:aliases w:val="Normal 1 Char,List Paragraph 1 Char,Akapit z listą BS Char,Paragrafi i listës1 Char"/>
    <w:link w:val="ListParagraph"/>
    <w:uiPriority w:val="34"/>
    <w:locked/>
    <w:rsid w:val="001778F4"/>
  </w:style>
  <w:style w:type="paragraph" w:styleId="Header">
    <w:name w:val="header"/>
    <w:basedOn w:val="Normal"/>
    <w:link w:val="HeaderChar"/>
    <w:uiPriority w:val="99"/>
    <w:unhideWhenUsed/>
    <w:rsid w:val="007B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58"/>
  </w:style>
  <w:style w:type="paragraph" w:styleId="Footer">
    <w:name w:val="footer"/>
    <w:basedOn w:val="Normal"/>
    <w:link w:val="FooterChar"/>
    <w:uiPriority w:val="99"/>
    <w:unhideWhenUsed/>
    <w:rsid w:val="007B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58"/>
  </w:style>
  <w:style w:type="paragraph" w:customStyle="1" w:styleId="Indent">
    <w:name w:val="Indent"/>
    <w:basedOn w:val="Normal"/>
    <w:qFormat/>
    <w:rsid w:val="005120A4"/>
    <w:pPr>
      <w:spacing w:before="60" w:after="0" w:line="240" w:lineRule="auto"/>
      <w:ind w:left="567"/>
      <w:jc w:val="both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5120A4"/>
    <w:rPr>
      <w:sz w:val="16"/>
      <w:szCs w:val="16"/>
    </w:rPr>
  </w:style>
  <w:style w:type="paragraph" w:styleId="NoSpacing">
    <w:name w:val="No Spacing"/>
    <w:uiPriority w:val="1"/>
    <w:qFormat/>
    <w:rsid w:val="005C7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lmira.uk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iana.rugo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AE9E-E22F-4D5C-B00B-45869D88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pejarosz</dc:creator>
  <cp:keywords/>
  <dc:description/>
  <cp:lastModifiedBy>Ardian Bajraktari</cp:lastModifiedBy>
  <cp:revision>3</cp:revision>
  <cp:lastPrinted>2017-12-20T15:05:00Z</cp:lastPrinted>
  <dcterms:created xsi:type="dcterms:W3CDTF">2018-02-13T13:38:00Z</dcterms:created>
  <dcterms:modified xsi:type="dcterms:W3CDTF">2018-02-13T13:40:00Z</dcterms:modified>
</cp:coreProperties>
</file>