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eastAsia="MS Mincho"/>
          <w:b/>
          <w:noProof/>
        </w:rPr>
        <w:drawing>
          <wp:inline distT="0" distB="0" distL="0" distR="0">
            <wp:extent cx="85725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>
        <w:rPr>
          <w:rFonts w:ascii="Book Antiqua" w:eastAsia="MS Mincho" w:hAnsi="Book Antiqua"/>
          <w:b/>
          <w:iCs/>
          <w:lang w:val="sq-AL"/>
        </w:rPr>
        <w:t>Qeveria - Vlada - Government</w:t>
      </w:r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Pr="00701615" w:rsidRDefault="00076BDD" w:rsidP="00076BDD">
      <w:pPr>
        <w:spacing w:after="0" w:line="360" w:lineRule="auto"/>
        <w:jc w:val="center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sz w:val="23"/>
          <w:szCs w:val="23"/>
          <w:lang w:val="sr-Latn-RS"/>
        </w:rPr>
        <w:t xml:space="preserve">                                                                                                                        </w:t>
      </w:r>
      <w:r w:rsidR="00B30E9F" w:rsidRPr="00701615">
        <w:rPr>
          <w:rFonts w:ascii="Times New Roman" w:eastAsia="MS Mincho" w:hAnsi="Times New Roman"/>
          <w:bCs/>
          <w:iCs/>
          <w:sz w:val="23"/>
          <w:szCs w:val="23"/>
          <w:lang w:val="sr-Latn-RS"/>
        </w:rPr>
        <w:t xml:space="preserve"> </w:t>
      </w:r>
      <w:r w:rsidR="009B0A18" w:rsidRPr="00701615">
        <w:rPr>
          <w:rFonts w:ascii="Times New Roman" w:eastAsia="MS Mincho" w:hAnsi="Times New Roman"/>
          <w:bCs/>
          <w:iCs/>
          <w:lang w:val="sr-Latn-RS"/>
        </w:rPr>
        <w:t>1</w:t>
      </w:r>
      <w:r w:rsidR="00FF12E7" w:rsidRPr="00701615">
        <w:rPr>
          <w:rFonts w:ascii="Times New Roman" w:eastAsia="MS Mincho" w:hAnsi="Times New Roman"/>
          <w:bCs/>
          <w:iCs/>
          <w:lang w:val="sr-Latn-RS"/>
        </w:rPr>
        <w:t xml:space="preserve">6 </w:t>
      </w:r>
      <w:r w:rsidR="00701615" w:rsidRPr="00701615">
        <w:rPr>
          <w:rFonts w:ascii="Times New Roman" w:eastAsia="MS Mincho" w:hAnsi="Times New Roman"/>
          <w:bCs/>
          <w:iCs/>
          <w:lang w:val="sr-Latn-RS"/>
        </w:rPr>
        <w:t>april</w:t>
      </w:r>
      <w:r w:rsidR="00B30E9F" w:rsidRPr="00701615">
        <w:rPr>
          <w:rFonts w:ascii="Times New Roman" w:eastAsia="MS Mincho" w:hAnsi="Times New Roman"/>
          <w:bCs/>
          <w:iCs/>
          <w:lang w:val="sr-Latn-RS"/>
        </w:rPr>
        <w:t xml:space="preserve"> 202</w:t>
      </w:r>
      <w:r w:rsidR="00A70E63" w:rsidRPr="00701615">
        <w:rPr>
          <w:rFonts w:ascii="Times New Roman" w:eastAsia="MS Mincho" w:hAnsi="Times New Roman"/>
          <w:bCs/>
          <w:iCs/>
          <w:lang w:val="sr-Latn-RS"/>
        </w:rPr>
        <w:t>4</w:t>
      </w:r>
      <w:r w:rsidR="00FF12E7" w:rsidRPr="00701615">
        <w:rPr>
          <w:rFonts w:ascii="Times New Roman" w:eastAsia="MS Mincho" w:hAnsi="Times New Roman"/>
          <w:bCs/>
          <w:iCs/>
          <w:lang w:val="sr-Latn-RS"/>
        </w:rPr>
        <w:t>,</w:t>
      </w:r>
      <w:r w:rsidRPr="00701615">
        <w:rPr>
          <w:rFonts w:ascii="Times New Roman" w:eastAsia="MS Mincho" w:hAnsi="Times New Roman"/>
          <w:bCs/>
          <w:iCs/>
          <w:lang w:val="sr-Latn-RS"/>
        </w:rPr>
        <w:t xml:space="preserve"> </w:t>
      </w:r>
      <w:r w:rsidR="00701615">
        <w:rPr>
          <w:rFonts w:ascii="Times New Roman" w:eastAsia="MS Mincho" w:hAnsi="Times New Roman"/>
          <w:bCs/>
          <w:iCs/>
          <w:lang w:val="sr-Latn-RS"/>
        </w:rPr>
        <w:t>Priština</w:t>
      </w:r>
    </w:p>
    <w:p w:rsidR="00B30E9F" w:rsidRPr="00701615" w:rsidRDefault="00B30E9F" w:rsidP="00083E2A">
      <w:pPr>
        <w:spacing w:after="0" w:line="240" w:lineRule="auto"/>
        <w:rPr>
          <w:rFonts w:ascii="Times New Roman" w:eastAsia="MS Mincho" w:hAnsi="Times New Roman"/>
          <w:bCs/>
          <w:iCs/>
          <w:lang w:val="sr-Latn-RS"/>
        </w:rPr>
      </w:pPr>
    </w:p>
    <w:p w:rsidR="00701615" w:rsidRPr="00701615" w:rsidRDefault="00701615" w:rsidP="00701615">
      <w:pPr>
        <w:spacing w:after="67" w:line="259" w:lineRule="auto"/>
        <w:ind w:left="821"/>
        <w:rPr>
          <w:rFonts w:ascii="Times New Roman" w:eastAsia="Times New Roman" w:hAnsi="Times New Roman"/>
          <w:color w:val="000000"/>
          <w:szCs w:val="22"/>
          <w:lang w:val="sr-Latn-RS"/>
        </w:rPr>
      </w:pPr>
      <w:r w:rsidRPr="00701615">
        <w:rPr>
          <w:rFonts w:ascii="Times New Roman" w:eastAsia="Times New Roman" w:hAnsi="Times New Roman"/>
          <w:b/>
          <w:color w:val="000000"/>
          <w:szCs w:val="22"/>
          <w:lang w:val="sr-Latn-RS"/>
        </w:rPr>
        <w:t xml:space="preserve">Javni Poziv za Finansijsku Podršku Projektima NVO-a Licenciranim u </w:t>
      </w:r>
    </w:p>
    <w:p w:rsidR="00B30E9F" w:rsidRPr="00701615" w:rsidRDefault="00701615" w:rsidP="00701615">
      <w:pPr>
        <w:spacing w:after="0" w:line="360" w:lineRule="auto"/>
        <w:jc w:val="center"/>
        <w:rPr>
          <w:rFonts w:ascii="Times New Roman" w:eastAsia="MS Mincho" w:hAnsi="Times New Roman"/>
          <w:b/>
          <w:bCs/>
          <w:iCs/>
          <w:lang w:val="sr-Latn-RS"/>
        </w:rPr>
      </w:pPr>
      <w:r w:rsidRPr="00701615">
        <w:rPr>
          <w:rFonts w:ascii="Times New Roman" w:eastAsia="Times New Roman" w:hAnsi="Times New Roman"/>
          <w:b/>
          <w:color w:val="000000"/>
          <w:szCs w:val="22"/>
          <w:lang w:val="sr-Latn-RS"/>
        </w:rPr>
        <w:t>Oblasti Socijalnih i Porodičnih Usluga</w:t>
      </w:r>
    </w:p>
    <w:p w:rsidR="00B30E9F" w:rsidRPr="00701615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701615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lang w:val="sr-Latn-RS"/>
        </w:rPr>
        <w:t xml:space="preserve">1. </w:t>
      </w:r>
      <w:r w:rsidR="00701615" w:rsidRPr="00701615">
        <w:rPr>
          <w:rFonts w:ascii="Times New Roman" w:eastAsia="Times New Roman" w:hAnsi="Times New Roman"/>
          <w:color w:val="000000"/>
          <w:szCs w:val="22"/>
          <w:lang w:val="sr-Latn-RS"/>
        </w:rPr>
        <w:t>Ministarstvo pravde, poziva sve Nevladine Organizacije (NVO) registrovane i licencirane u oblasti socijalnih i porodičnih usluga u Republici Kosova, čiji je program rada usmeren na podršku socijalnim kategorijama i osnaživanju porodica / pojedinaca u socijalnim potrebama, da se prijave za finansijsku podršku za projekte koji doprinose sprovođenju ciljeva i aktivnosti u oblasti socijalnih i porodičnih usluga</w:t>
      </w:r>
      <w:r w:rsidRPr="00701615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701615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701615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lang w:val="sr-Latn-RS"/>
        </w:rPr>
        <w:t xml:space="preserve">2. </w:t>
      </w:r>
      <w:r w:rsidR="00701615" w:rsidRPr="00701615">
        <w:rPr>
          <w:rFonts w:ascii="Times New Roman" w:eastAsia="Times New Roman" w:hAnsi="Times New Roman"/>
          <w:color w:val="000000"/>
          <w:szCs w:val="22"/>
          <w:lang w:val="sr-Latn-RS"/>
        </w:rPr>
        <w:t>Licencirane NVO u skladu sa ovim javnim pozivom mogu aplicirati sa svojim projektima za pružanje socijalnih usluga</w:t>
      </w:r>
      <w:r w:rsidRPr="00701615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701615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701615" w:rsidRDefault="00843434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lang w:val="sr-Latn-RS"/>
        </w:rPr>
        <w:t>3.</w:t>
      </w:r>
      <w:r w:rsidR="00701615">
        <w:rPr>
          <w:rFonts w:ascii="Times New Roman" w:eastAsia="MS Mincho" w:hAnsi="Times New Roman"/>
          <w:bCs/>
          <w:iCs/>
          <w:lang w:val="sr-Latn-RS"/>
        </w:rPr>
        <w:t xml:space="preserve"> </w:t>
      </w:r>
      <w:r w:rsidR="00701615" w:rsidRPr="00701615">
        <w:rPr>
          <w:rFonts w:ascii="Times New Roman" w:eastAsia="MS Mincho" w:hAnsi="Times New Roman"/>
          <w:bCs/>
          <w:iCs/>
          <w:lang w:val="sr-Latn-RS"/>
        </w:rPr>
        <w:t>Licencirane NVO mogu se prijaviti sa projektom koji doprinosi pružanju i unapređenju socijalnih usluga kroz sprovođenje sledećih ciljeva i aktivnosti</w:t>
      </w:r>
      <w:r w:rsidR="00B30E9F" w:rsidRPr="00701615">
        <w:rPr>
          <w:rFonts w:ascii="Times New Roman" w:eastAsia="MS Mincho" w:hAnsi="Times New Roman"/>
          <w:bCs/>
          <w:iCs/>
          <w:lang w:val="sr-Latn-RS"/>
        </w:rPr>
        <w:t>:</w:t>
      </w:r>
    </w:p>
    <w:p w:rsidR="00B30E9F" w:rsidRPr="00701615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1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701615" w:rsidRPr="00701615">
        <w:rPr>
          <w:rFonts w:ascii="Times New Roman" w:eastAsia="MS Mincho" w:hAnsi="Times New Roman"/>
          <w:bCs/>
          <w:i/>
          <w:iCs/>
          <w:lang w:val="sr-Latn-RS"/>
        </w:rPr>
        <w:t>Alternativne usluge za decu bez roditeljskog staranja i savetovanje za hraniteljske porodice, za realizaciju programa hraniteljstva</w:t>
      </w:r>
      <w:r w:rsidR="00B30E9F" w:rsidRPr="00701615">
        <w:rPr>
          <w:rFonts w:ascii="Times New Roman" w:eastAsia="MS Mincho" w:hAnsi="Times New Roman"/>
          <w:bCs/>
          <w:i/>
          <w:iCs/>
          <w:lang w:val="sr-Latn-RS"/>
        </w:rPr>
        <w:t>;</w:t>
      </w:r>
    </w:p>
    <w:p w:rsidR="00B30E9F" w:rsidRPr="00701615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2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701615"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Alternativne usluge za zaštitu napuštene dece i </w:t>
      </w:r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pružanje podrške</w:t>
      </w:r>
      <w:r w:rsidR="00701615"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 hraniteljskim porodicama za pružanje usluga za decu</w:t>
      </w:r>
      <w:r w:rsidR="00B30E9F" w:rsidRPr="00701615">
        <w:rPr>
          <w:rFonts w:ascii="Times New Roman" w:eastAsia="MS Mincho" w:hAnsi="Times New Roman"/>
          <w:bCs/>
          <w:i/>
          <w:iCs/>
          <w:lang w:val="sr-Latn-RS"/>
        </w:rPr>
        <w:t>;</w:t>
      </w:r>
    </w:p>
    <w:p w:rsidR="00B30E9F" w:rsidRPr="00701615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3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Rezidencijalne usluge za zaštitu napuštene dece i pružanje podrške hraniteljskim porodicama stručnim savetima</w:t>
      </w:r>
      <w:r w:rsidR="00B30E9F" w:rsidRPr="00701615">
        <w:rPr>
          <w:rFonts w:ascii="Times New Roman" w:eastAsia="MS Mincho" w:hAnsi="Times New Roman"/>
          <w:bCs/>
          <w:i/>
          <w:iCs/>
          <w:lang w:val="sr-Latn-RS"/>
        </w:rPr>
        <w:t>;</w:t>
      </w:r>
    </w:p>
    <w:p w:rsidR="00B30E9F" w:rsidRPr="00701615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4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 xml:space="preserve">Usluge </w:t>
      </w:r>
      <w:proofErr w:type="spellStart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rezidencijalnog</w:t>
      </w:r>
      <w:proofErr w:type="spellEnd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 xml:space="preserve"> i dnevnog boravka za uklanjanje dece sa teškog, opasnog rada i </w:t>
      </w:r>
      <w:proofErr w:type="spellStart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prosjačenja</w:t>
      </w:r>
      <w:proofErr w:type="spellEnd"/>
      <w:r w:rsidR="00B30E9F"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; </w:t>
      </w:r>
    </w:p>
    <w:p w:rsidR="00B30E9F" w:rsidRPr="00701615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5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Rezidencijalne, dnevne i porodične usluge za decu i odrasle sa invaliditetom</w:t>
      </w:r>
      <w:r w:rsidR="00B30E9F" w:rsidRPr="00701615">
        <w:rPr>
          <w:rFonts w:ascii="Times New Roman" w:eastAsia="MS Mincho" w:hAnsi="Times New Roman"/>
          <w:bCs/>
          <w:i/>
          <w:iCs/>
          <w:lang w:val="sr-Latn-RS"/>
        </w:rPr>
        <w:t>;</w:t>
      </w:r>
    </w:p>
    <w:p w:rsidR="00B30E9F" w:rsidRPr="00701615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6</w:t>
      </w:r>
      <w:r w:rsidR="00837912" w:rsidRPr="00837912">
        <w:t xml:space="preserve"> </w:t>
      </w:r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 xml:space="preserve">Usluge rehabilitacije i lečenja osoba sa posebnim potrebama, dece i odraslih (slepi, gluvi, </w:t>
      </w:r>
      <w:proofErr w:type="spellStart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tetraplegičari</w:t>
      </w:r>
      <w:proofErr w:type="spellEnd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 xml:space="preserve">, paraplegičari, sa </w:t>
      </w:r>
      <w:proofErr w:type="spellStart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>Daunovim</w:t>
      </w:r>
      <w:proofErr w:type="spellEnd"/>
      <w:r w:rsidR="00837912" w:rsidRPr="00837912">
        <w:rPr>
          <w:rFonts w:ascii="Times New Roman" w:eastAsia="MS Mincho" w:hAnsi="Times New Roman"/>
          <w:bCs/>
          <w:i/>
          <w:iCs/>
          <w:lang w:val="sr-Latn-RS"/>
        </w:rPr>
        <w:t xml:space="preserve"> sindromom, autizmom itd.)</w:t>
      </w:r>
    </w:p>
    <w:p w:rsidR="00B30E9F" w:rsidRPr="00701615" w:rsidRDefault="00B30E9F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7</w:t>
      </w:r>
      <w:r w:rsidR="00302341"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85340F" w:rsidRPr="0085340F">
        <w:rPr>
          <w:rFonts w:ascii="Times New Roman" w:eastAsia="MS Mincho" w:hAnsi="Times New Roman"/>
          <w:bCs/>
          <w:i/>
          <w:iCs/>
          <w:lang w:val="sr-Latn-RS"/>
        </w:rPr>
        <w:t xml:space="preserve">Usluge zaštite, </w:t>
      </w:r>
      <w:proofErr w:type="spellStart"/>
      <w:r w:rsidR="0085340F" w:rsidRPr="0085340F">
        <w:rPr>
          <w:rFonts w:ascii="Times New Roman" w:eastAsia="MS Mincho" w:hAnsi="Times New Roman"/>
          <w:bCs/>
          <w:i/>
          <w:iCs/>
          <w:lang w:val="sr-Latn-RS"/>
        </w:rPr>
        <w:t>psihosocijalnog</w:t>
      </w:r>
      <w:proofErr w:type="spellEnd"/>
      <w:r w:rsidR="0085340F" w:rsidRPr="0085340F">
        <w:rPr>
          <w:rFonts w:ascii="Times New Roman" w:eastAsia="MS Mincho" w:hAnsi="Times New Roman"/>
          <w:bCs/>
          <w:i/>
          <w:iCs/>
          <w:lang w:val="sr-Latn-RS"/>
        </w:rPr>
        <w:t xml:space="preserve"> savetovanja za decu i odrasle sa invaliditetom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>.</w:t>
      </w:r>
    </w:p>
    <w:p w:rsidR="00B30E9F" w:rsidRPr="00701615" w:rsidRDefault="00B30E9F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  <w:lang w:val="sr-Latn-RS"/>
        </w:rPr>
      </w:pPr>
      <w:r w:rsidRPr="00701615">
        <w:rPr>
          <w:rFonts w:ascii="Times New Roman" w:eastAsia="MS Mincho" w:hAnsi="Times New Roman"/>
          <w:bCs/>
          <w:i/>
          <w:iCs/>
          <w:lang w:val="sr-Latn-RS"/>
        </w:rPr>
        <w:lastRenderedPageBreak/>
        <w:t>3.</w:t>
      </w:r>
      <w:r w:rsidR="009B0A18" w:rsidRPr="00701615">
        <w:rPr>
          <w:rFonts w:ascii="Times New Roman" w:eastAsia="MS Mincho" w:hAnsi="Times New Roman"/>
          <w:bCs/>
          <w:i/>
          <w:iCs/>
          <w:lang w:val="sr-Latn-RS"/>
        </w:rPr>
        <w:t>8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 xml:space="preserve">. </w:t>
      </w:r>
      <w:r w:rsidR="0085340F" w:rsidRPr="0085340F">
        <w:rPr>
          <w:rFonts w:ascii="Times New Roman" w:eastAsia="MS Mincho" w:hAnsi="Times New Roman"/>
          <w:bCs/>
          <w:i/>
          <w:iCs/>
          <w:lang w:val="sr-Latn-RS"/>
        </w:rPr>
        <w:t>Rezidencijalne, dnevne i porodične usluge za stare i osobe bez porodičnog staranja</w:t>
      </w:r>
      <w:r w:rsidRPr="00701615">
        <w:rPr>
          <w:rFonts w:ascii="Times New Roman" w:eastAsia="MS Mincho" w:hAnsi="Times New Roman"/>
          <w:bCs/>
          <w:i/>
          <w:iCs/>
          <w:lang w:val="sr-Latn-RS"/>
        </w:rPr>
        <w:t>.</w:t>
      </w:r>
    </w:p>
    <w:p w:rsidR="00B30E9F" w:rsidRPr="00701615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701615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lang w:val="sr-Latn-RS"/>
        </w:rPr>
        <w:t xml:space="preserve">4. </w:t>
      </w:r>
      <w:r w:rsidR="005C5A6B" w:rsidRPr="005C5A6B">
        <w:rPr>
          <w:rFonts w:ascii="Times New Roman" w:eastAsia="MS Mincho" w:hAnsi="Times New Roman"/>
          <w:bCs/>
          <w:iCs/>
          <w:lang w:val="sr-Latn-RS"/>
        </w:rPr>
        <w:t>Ukupna planirana vrednost poziva je 300.000,00 evra. Za NVO koje apliciraju sa projektima za sprovođenje ciljeva i aktivnosti iz tačaka 3.1 do 3.8, minimalni iznos podrške za jedan (1) projekat je 10.000,00 evra, dok je maksimalni iznos za jedan (1) projekat 35.000,00 evra</w:t>
      </w:r>
      <w:r w:rsidRPr="00701615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701615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701615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lang w:val="sr-Latn-RS"/>
        </w:rPr>
        <w:t xml:space="preserve">5. </w:t>
      </w:r>
      <w:r w:rsidR="005C5A6B" w:rsidRPr="005C5A6B">
        <w:rPr>
          <w:rFonts w:ascii="Times New Roman" w:eastAsia="MS Mincho" w:hAnsi="Times New Roman"/>
          <w:bCs/>
          <w:iCs/>
          <w:lang w:val="sr-Latn-RS"/>
        </w:rPr>
        <w:t>U zavisnosti od vrste kategorije klijenta, trajanja, teritorijalnog obima i pružanja usluga, projekat se može finansirati u iznosu od 30% do 60% ukupnih prihvatljivih troškova rashoda, ali ne manje od minimalne vrednosti i ne više od maksimalne vrednosti za pojedinačni projekat utvrđenog u tački br. 4. ovog poziva i kriterijuma utvrđenih u Vodiču za aplikante</w:t>
      </w:r>
      <w:r w:rsidRPr="00701615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701615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701615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701615">
        <w:rPr>
          <w:rFonts w:ascii="Times New Roman" w:eastAsia="MS Mincho" w:hAnsi="Times New Roman"/>
          <w:bCs/>
          <w:iCs/>
          <w:lang w:val="sr-Latn-RS"/>
        </w:rPr>
        <w:t xml:space="preserve">6. </w:t>
      </w:r>
      <w:proofErr w:type="spellStart"/>
      <w:r w:rsidR="005C5A6B" w:rsidRPr="005C5A6B">
        <w:rPr>
          <w:rFonts w:ascii="Times New Roman" w:eastAsia="Times New Roman" w:hAnsi="Times New Roman"/>
          <w:color w:val="000000"/>
          <w:szCs w:val="22"/>
          <w:lang w:val="sr-Latn-RS"/>
        </w:rPr>
        <w:t>Aplikanti</w:t>
      </w:r>
      <w:proofErr w:type="spellEnd"/>
      <w:r w:rsidR="005C5A6B" w:rsidRPr="005C5A6B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i potencijalni partneri, za ostatak troškova mogu da obezbede </w:t>
      </w:r>
      <w:proofErr w:type="spellStart"/>
      <w:r w:rsidR="005C5A6B" w:rsidRPr="005C5A6B">
        <w:rPr>
          <w:rFonts w:ascii="Times New Roman" w:eastAsia="Times New Roman" w:hAnsi="Times New Roman"/>
          <w:color w:val="000000"/>
          <w:szCs w:val="22"/>
          <w:lang w:val="sr-Latn-RS"/>
        </w:rPr>
        <w:t>sufinansiranje</w:t>
      </w:r>
      <w:proofErr w:type="spellEnd"/>
      <w:r w:rsidR="005C5A6B" w:rsidRPr="005C5A6B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od donatora i drugih javnih ili sopstvenih sredstava</w:t>
      </w:r>
      <w:r w:rsidRPr="00701615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7. 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Rok za podnošenje predloga je 15 radnih dana i završava se </w:t>
      </w:r>
      <w:r w:rsidR="00A021EE">
        <w:rPr>
          <w:rFonts w:ascii="Times New Roman" w:eastAsia="Times New Roman" w:hAnsi="Times New Roman"/>
          <w:color w:val="000000"/>
          <w:szCs w:val="22"/>
          <w:lang w:val="sr-Latn-RS"/>
        </w:rPr>
        <w:t>04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.</w:t>
      </w:r>
      <w:r w:rsidR="00A021EE">
        <w:rPr>
          <w:rFonts w:ascii="Times New Roman" w:eastAsia="Times New Roman" w:hAnsi="Times New Roman"/>
          <w:color w:val="000000"/>
          <w:szCs w:val="22"/>
          <w:lang w:val="sr-Latn-RS"/>
        </w:rPr>
        <w:t>05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.2024. godine</w:t>
      </w:r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8.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NVO-je mogu aplicirati ili biti partner najviše u jednom (1) projektu u okviru ovog poziva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9. </w:t>
      </w:r>
      <w:r w:rsidR="00A021EE" w:rsidRPr="00A021EE">
        <w:rPr>
          <w:rFonts w:ascii="Times New Roman" w:eastAsia="MS Mincho" w:hAnsi="Times New Roman"/>
          <w:bCs/>
          <w:iCs/>
          <w:lang w:val="sr-Latn-RS"/>
        </w:rPr>
        <w:t>NVO koje su dobile finansijsku podršku od Vlade Republike Kosova/Ministarstva pravde za 2024. godinu, ne mogu biti korisnici ovog javnog poziva</w:t>
      </w:r>
      <w:r w:rsidR="00E74254"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843434" w:rsidRPr="00A021EE" w:rsidRDefault="00843434" w:rsidP="00843434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083E2A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10.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Period sprovođenja projekta je </w:t>
      </w:r>
      <w:r w:rsidR="00A021EE" w:rsidRPr="0094138F">
        <w:rPr>
          <w:rFonts w:ascii="Times New Roman" w:eastAsia="Times New Roman" w:hAnsi="Times New Roman"/>
          <w:color w:val="000000"/>
          <w:szCs w:val="22"/>
          <w:lang w:val="sr-Latn-RS"/>
        </w:rPr>
        <w:t>12 meseci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. NVO može biti uključena u najviše jedan (1) projekat i biti uključena u sprovođenju samo jedne (1) prioritetne oblasti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A021EE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 </w:t>
      </w: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11.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Pravo da se prijave sa svojim projektima imaju NVO koje su licencirane, kao i NVO koje su u procesu ponovnog licenciranja, ali koje su završile sve procedure u skladu</w:t>
      </w:r>
      <w:r w:rsid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sa</w:t>
      </w:r>
      <w:r w:rsidR="003A5554" w:rsidRPr="00A021EE">
        <w:rPr>
          <w:rFonts w:ascii="Times New Roman" w:eastAsia="MS Mincho" w:hAnsi="Times New Roman"/>
          <w:bCs/>
          <w:iCs/>
          <w:lang w:val="sr-Latn-RS"/>
        </w:rPr>
        <w:t xml:space="preserve"> </w:t>
      </w:r>
      <w:r w:rsidR="00A021EE">
        <w:rPr>
          <w:rFonts w:ascii="Times New Roman" w:eastAsia="MS Mincho" w:hAnsi="Times New Roman"/>
          <w:bCs/>
          <w:iCs/>
          <w:lang w:val="sr-Latn-RS"/>
        </w:rPr>
        <w:t>Administrativnom uputstvom br. 02/2020 od MFPT/DPSF.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12.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NVO koje apliciraju moraju dokazati da je njihov program rada fokusiran na neku od vrsta oblasti i aktivnosti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obuhvaćenih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ovim javnim pozivom</w:t>
      </w:r>
      <w:r w:rsidRPr="00A021EE">
        <w:rPr>
          <w:rFonts w:ascii="Times New Roman" w:eastAsia="MS Mincho" w:hAnsi="Times New Roman"/>
          <w:bCs/>
          <w:iCs/>
          <w:lang w:val="sr-Latn-RS"/>
        </w:rPr>
        <w:t xml:space="preserve">. </w:t>
      </w: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13.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NVO takođe moraju da </w:t>
      </w:r>
      <w:r w:rsidR="0094138F">
        <w:rPr>
          <w:rFonts w:ascii="Times New Roman" w:eastAsia="Times New Roman" w:hAnsi="Times New Roman"/>
          <w:color w:val="000000"/>
          <w:szCs w:val="22"/>
          <w:lang w:val="sr-Latn-RS"/>
        </w:rPr>
        <w:t xml:space="preserve">imaju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izvrše</w:t>
      </w:r>
      <w:r w:rsidR="0094138F">
        <w:rPr>
          <w:rFonts w:ascii="Times New Roman" w:eastAsia="Times New Roman" w:hAnsi="Times New Roman"/>
          <w:color w:val="000000"/>
          <w:szCs w:val="22"/>
          <w:lang w:val="sr-Latn-RS"/>
        </w:rPr>
        <w:t>ne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finansijske transakcije na transparentan način u skladu sa zakonodavstvom za NVO u Republici Kosova i u skladu sa pravilima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računovođstva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, kao i da su ispunile ugovorne obaveze prema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pružaocu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finansijske podrške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E74254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14.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Pre potpisivanja ugovora, NVO-je treba dostaviti do</w:t>
      </w:r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>kaze da, odgovorno lice u NVO-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rukovodilac projekta ni</w:t>
      </w:r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>je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pod istragom za krivična dela, kao i dokaze da je NVO-ja rešilo svako otvoreno pitanje u vezi sa uplatom doprinosa i neplaćenih poreza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  <w:r w:rsidR="0070594C" w:rsidRPr="00A021EE">
        <w:rPr>
          <w:rFonts w:ascii="Times New Roman" w:eastAsia="MS Mincho" w:hAnsi="Times New Roman"/>
          <w:bCs/>
          <w:iCs/>
          <w:lang w:val="sr-Latn-RS"/>
        </w:rPr>
        <w:t xml:space="preserve"> </w:t>
      </w:r>
    </w:p>
    <w:p w:rsidR="00E74254" w:rsidRPr="00A021EE" w:rsidRDefault="00E74254" w:rsidP="00FF12E7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lastRenderedPageBreak/>
        <w:t xml:space="preserve">15.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Predlozi će se dostaviti na propisanim</w:t>
      </w:r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obrascima, koji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uz </w:t>
      </w:r>
      <w:r w:rsidR="00A021EE">
        <w:rPr>
          <w:rFonts w:ascii="Times New Roman" w:eastAsia="Times New Roman" w:hAnsi="Times New Roman"/>
          <w:color w:val="000000"/>
          <w:szCs w:val="22"/>
          <w:lang w:val="sr-Latn-RS"/>
        </w:rPr>
        <w:t>Vodiću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za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aplikante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su dostupna na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web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stranici Ministarstvo Pravde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16.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Kompletirani dokumenti moraju se poslati poštom ili lično, na adresu; Ministarstvo Pravde, Zgrada Vlade, ulica Luan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Haradinaj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, bb. bivša Zgrada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Rilindje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10000 Priština, Arhivi MP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17.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Proces prijema, otvaranja i pregleda prijava, procenjivanje zahteva, ugovaranja, dodeljivanja sredstava, vremena i načina podnošenja žalbi, obrade dokumenata i indikativnog kalendara sprovođenja poziva detaljno su navedeni u </w:t>
      </w:r>
      <w:r w:rsidR="00A021EE">
        <w:rPr>
          <w:rFonts w:ascii="Times New Roman" w:eastAsia="Times New Roman" w:hAnsi="Times New Roman"/>
          <w:color w:val="000000"/>
          <w:szCs w:val="22"/>
          <w:lang w:val="sr-Latn-RS"/>
        </w:rPr>
        <w:t>Vodiću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z</w:t>
      </w:r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 xml:space="preserve">a </w:t>
      </w:r>
      <w:proofErr w:type="spellStart"/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>aplikante</w:t>
      </w:r>
      <w:proofErr w:type="spellEnd"/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javnog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poziv</w:t>
      </w:r>
      <w:r w:rsidR="009B37EA">
        <w:rPr>
          <w:rFonts w:ascii="Times New Roman" w:eastAsia="Times New Roman" w:hAnsi="Times New Roman"/>
          <w:color w:val="000000"/>
          <w:szCs w:val="22"/>
          <w:lang w:val="sr-Latn-RS"/>
        </w:rPr>
        <w:t>a</w:t>
      </w:r>
      <w:bookmarkStart w:id="0" w:name="_GoBack"/>
      <w:bookmarkEnd w:id="0"/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 xml:space="preserve">18.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Za finansijsku podršku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biće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razmatrani samo projekti koji su primljeni u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predviđenom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roku ovim javnim pozivom i koji ispunjavaju utvrđene uslove javnog poziva</w:t>
      </w:r>
      <w:r w:rsidRPr="00A021EE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A021EE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A021EE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/>
          <w:iCs/>
          <w:lang w:val="sr-Latn-RS"/>
        </w:rPr>
      </w:pPr>
      <w:r w:rsidRPr="00A021EE">
        <w:rPr>
          <w:rFonts w:ascii="Times New Roman" w:eastAsia="MS Mincho" w:hAnsi="Times New Roman"/>
          <w:bCs/>
          <w:iCs/>
          <w:lang w:val="sr-Latn-RS"/>
        </w:rPr>
        <w:t>19.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</w:t>
      </w:r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Sva pitanja u vezi sa javnim pozivom mogu se razjasniti samo elektronskim putem, g. Ilir </w:t>
      </w:r>
      <w:proofErr w:type="spellStart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>Mazreku</w:t>
      </w:r>
      <w:proofErr w:type="spellEnd"/>
      <w:r w:rsidR="00A021EE" w:rsidRPr="00A021EE">
        <w:rPr>
          <w:rFonts w:ascii="Times New Roman" w:eastAsia="Times New Roman" w:hAnsi="Times New Roman"/>
          <w:color w:val="000000"/>
          <w:szCs w:val="22"/>
          <w:lang w:val="sr-Latn-RS"/>
        </w:rPr>
        <w:t xml:space="preserve"> u Ministarstvu pravde, kontaktiranjem putem elektronske pošte na adresu </w:t>
      </w:r>
      <w:hyperlink r:id="rId6" w:history="1">
        <w:r w:rsidR="00A021EE" w:rsidRPr="00A021EE">
          <w:rPr>
            <w:rFonts w:ascii="Times New Roman" w:eastAsia="MS Mincho" w:hAnsi="Times New Roman"/>
            <w:bCs/>
            <w:iCs/>
            <w:color w:val="0563C1"/>
            <w:sz w:val="23"/>
            <w:szCs w:val="23"/>
            <w:u w:val="single"/>
          </w:rPr>
          <w:t>ilir.mazreku@rks-gov.net</w:t>
        </w:r>
      </w:hyperlink>
      <w:r w:rsidR="00083E2A" w:rsidRPr="00A021EE">
        <w:rPr>
          <w:rFonts w:ascii="Times New Roman" w:eastAsia="MS Mincho" w:hAnsi="Times New Roman"/>
          <w:bCs/>
          <w:iCs/>
          <w:lang w:val="sr-Latn-RS"/>
        </w:rPr>
        <w:t xml:space="preserve"> </w:t>
      </w:r>
    </w:p>
    <w:sectPr w:rsidR="00B30E9F" w:rsidRPr="00A021EE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96"/>
    <w:rsid w:val="00025B9F"/>
    <w:rsid w:val="00076BDD"/>
    <w:rsid w:val="00083E2A"/>
    <w:rsid w:val="0009432C"/>
    <w:rsid w:val="000B46CD"/>
    <w:rsid w:val="00146A8A"/>
    <w:rsid w:val="001475D8"/>
    <w:rsid w:val="00175013"/>
    <w:rsid w:val="00194874"/>
    <w:rsid w:val="001A5C85"/>
    <w:rsid w:val="001C1BAF"/>
    <w:rsid w:val="00202926"/>
    <w:rsid w:val="00216657"/>
    <w:rsid w:val="00230425"/>
    <w:rsid w:val="002406FC"/>
    <w:rsid w:val="002413FC"/>
    <w:rsid w:val="00291DB9"/>
    <w:rsid w:val="002D1AF5"/>
    <w:rsid w:val="00302341"/>
    <w:rsid w:val="00312326"/>
    <w:rsid w:val="003444C0"/>
    <w:rsid w:val="00371511"/>
    <w:rsid w:val="00386A1D"/>
    <w:rsid w:val="003A064C"/>
    <w:rsid w:val="003A4C21"/>
    <w:rsid w:val="003A5554"/>
    <w:rsid w:val="004112CC"/>
    <w:rsid w:val="004129AB"/>
    <w:rsid w:val="00473D7E"/>
    <w:rsid w:val="004828B1"/>
    <w:rsid w:val="00487533"/>
    <w:rsid w:val="00533F61"/>
    <w:rsid w:val="00566545"/>
    <w:rsid w:val="005834FF"/>
    <w:rsid w:val="005933CB"/>
    <w:rsid w:val="005977B2"/>
    <w:rsid w:val="005C5A6B"/>
    <w:rsid w:val="005E7469"/>
    <w:rsid w:val="006200E7"/>
    <w:rsid w:val="00652E6B"/>
    <w:rsid w:val="0067425A"/>
    <w:rsid w:val="00674A52"/>
    <w:rsid w:val="006E6CCC"/>
    <w:rsid w:val="00701615"/>
    <w:rsid w:val="0070594C"/>
    <w:rsid w:val="00711629"/>
    <w:rsid w:val="00734DE4"/>
    <w:rsid w:val="007355AB"/>
    <w:rsid w:val="00783D54"/>
    <w:rsid w:val="00784348"/>
    <w:rsid w:val="007F2A35"/>
    <w:rsid w:val="008236F6"/>
    <w:rsid w:val="00837912"/>
    <w:rsid w:val="00843434"/>
    <w:rsid w:val="0085340F"/>
    <w:rsid w:val="00876296"/>
    <w:rsid w:val="00897914"/>
    <w:rsid w:val="008B24E1"/>
    <w:rsid w:val="008F036A"/>
    <w:rsid w:val="008F17BC"/>
    <w:rsid w:val="008F1CD4"/>
    <w:rsid w:val="008F2472"/>
    <w:rsid w:val="008F75CA"/>
    <w:rsid w:val="008F7C0E"/>
    <w:rsid w:val="0092162F"/>
    <w:rsid w:val="0094138F"/>
    <w:rsid w:val="009A117A"/>
    <w:rsid w:val="009B0A18"/>
    <w:rsid w:val="009B37EA"/>
    <w:rsid w:val="009B7C5D"/>
    <w:rsid w:val="00A021EE"/>
    <w:rsid w:val="00A028B9"/>
    <w:rsid w:val="00A64AF2"/>
    <w:rsid w:val="00A70E63"/>
    <w:rsid w:val="00A85D43"/>
    <w:rsid w:val="00AB47B0"/>
    <w:rsid w:val="00AE40FF"/>
    <w:rsid w:val="00B30E9F"/>
    <w:rsid w:val="00B31B1A"/>
    <w:rsid w:val="00B9639E"/>
    <w:rsid w:val="00C22A9A"/>
    <w:rsid w:val="00C511D2"/>
    <w:rsid w:val="00C53BB8"/>
    <w:rsid w:val="00C71DE9"/>
    <w:rsid w:val="00D11D50"/>
    <w:rsid w:val="00D21E8D"/>
    <w:rsid w:val="00D478E5"/>
    <w:rsid w:val="00DD7C9A"/>
    <w:rsid w:val="00E33C80"/>
    <w:rsid w:val="00E64A7F"/>
    <w:rsid w:val="00E67909"/>
    <w:rsid w:val="00E74254"/>
    <w:rsid w:val="00EC4D63"/>
    <w:rsid w:val="00F36722"/>
    <w:rsid w:val="00F773BD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D0B4"/>
  <w15:docId w15:val="{F0927FFC-54FD-465B-8E37-BA0FFF3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E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ir.mazreku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D91D-2EAF-4360-908D-F1AD2F0D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gjyltene.berisha</dc:creator>
  <cp:lastModifiedBy>Fisnik Zabeli</cp:lastModifiedBy>
  <cp:revision>8</cp:revision>
  <cp:lastPrinted>2024-01-12T08:01:00Z</cp:lastPrinted>
  <dcterms:created xsi:type="dcterms:W3CDTF">2024-04-16T13:11:00Z</dcterms:created>
  <dcterms:modified xsi:type="dcterms:W3CDTF">2024-04-17T07:00:00Z</dcterms:modified>
</cp:coreProperties>
</file>