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BB" w:rsidRDefault="00120778">
      <w:pPr>
        <w:spacing w:after="0" w:line="259" w:lineRule="auto"/>
        <w:ind w:left="62" w:firstLine="0"/>
        <w:jc w:val="center"/>
      </w:pPr>
      <w:bookmarkStart w:id="0" w:name="_GoBack"/>
      <w:bookmarkEnd w:id="0"/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C311BB" w:rsidRDefault="00120778">
      <w:pPr>
        <w:spacing w:after="0" w:line="259" w:lineRule="auto"/>
        <w:ind w:left="62" w:firstLine="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C311BB" w:rsidRDefault="00120778">
      <w:pPr>
        <w:spacing w:after="0" w:line="259" w:lineRule="auto"/>
        <w:ind w:left="62" w:firstLine="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C311BB" w:rsidRDefault="00120778">
      <w:pPr>
        <w:spacing w:after="0" w:line="259" w:lineRule="auto"/>
        <w:ind w:left="62" w:firstLine="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C311BB" w:rsidRDefault="00120778">
      <w:pPr>
        <w:spacing w:after="0" w:line="259" w:lineRule="auto"/>
        <w:ind w:left="64" w:firstLine="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1009650" cy="876300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:rsidR="00C311BB" w:rsidRDefault="00120778">
      <w:pPr>
        <w:spacing w:after="0" w:line="259" w:lineRule="auto"/>
        <w:ind w:left="0" w:right="16" w:firstLine="0"/>
        <w:jc w:val="center"/>
      </w:pPr>
      <w:r>
        <w:rPr>
          <w:rFonts w:ascii="Book Antiqua" w:eastAsia="Book Antiqua" w:hAnsi="Book Antiqua" w:cs="Book Antiqua"/>
          <w:b/>
          <w:sz w:val="28"/>
        </w:rPr>
        <w:t xml:space="preserve">Republika e Kosovës </w:t>
      </w:r>
    </w:p>
    <w:p w:rsidR="00C311BB" w:rsidRDefault="00120778">
      <w:pPr>
        <w:spacing w:after="0" w:line="259" w:lineRule="auto"/>
        <w:ind w:left="2713" w:firstLine="0"/>
        <w:jc w:val="left"/>
      </w:pPr>
      <w:r>
        <w:rPr>
          <w:rFonts w:ascii="Book Antiqua" w:eastAsia="Book Antiqua" w:hAnsi="Book Antiqua" w:cs="Book Antiqua"/>
          <w:b/>
        </w:rPr>
        <w:t xml:space="preserve">Republika Kosova - Republic of Kosovo </w:t>
      </w:r>
    </w:p>
    <w:p w:rsidR="00C311BB" w:rsidRDefault="00120778">
      <w:pPr>
        <w:spacing w:after="0" w:line="259" w:lineRule="auto"/>
        <w:ind w:left="3" w:firstLine="0"/>
        <w:jc w:val="center"/>
      </w:pPr>
      <w:r>
        <w:rPr>
          <w:rFonts w:ascii="Book Antiqua" w:eastAsia="Book Antiqua" w:hAnsi="Book Antiqua" w:cs="Book Antiqua"/>
          <w:b/>
        </w:rPr>
        <w:t xml:space="preserve">Qeveria - Vlada - Government </w:t>
      </w:r>
    </w:p>
    <w:p w:rsidR="00C311BB" w:rsidRDefault="00120778">
      <w:pPr>
        <w:spacing w:after="0" w:line="259" w:lineRule="auto"/>
        <w:ind w:left="48" w:firstLine="0"/>
        <w:jc w:val="center"/>
      </w:pPr>
      <w:r>
        <w:rPr>
          <w:rFonts w:ascii="Book Antiqua" w:eastAsia="Book Antiqua" w:hAnsi="Book Antiqua" w:cs="Book Antiqua"/>
          <w:b/>
          <w:i/>
        </w:rPr>
        <w:t xml:space="preserve"> </w:t>
      </w:r>
    </w:p>
    <w:p w:rsidR="00C311BB" w:rsidRDefault="00120778">
      <w:pPr>
        <w:spacing w:after="0" w:line="259" w:lineRule="auto"/>
        <w:ind w:left="48" w:firstLine="0"/>
        <w:jc w:val="center"/>
      </w:pPr>
      <w:r>
        <w:rPr>
          <w:rFonts w:ascii="Book Antiqua" w:eastAsia="Book Antiqua" w:hAnsi="Book Antiqua" w:cs="Book Antiqua"/>
          <w:b/>
          <w:i/>
        </w:rPr>
        <w:t xml:space="preserve"> </w:t>
      </w:r>
    </w:p>
    <w:p w:rsidR="00C311BB" w:rsidRDefault="00120778">
      <w:pPr>
        <w:spacing w:after="0" w:line="259" w:lineRule="auto"/>
        <w:ind w:left="0" w:right="1511" w:firstLine="0"/>
        <w:jc w:val="right"/>
      </w:pPr>
      <w:r>
        <w:rPr>
          <w:rFonts w:ascii="Book Antiqua" w:eastAsia="Book Antiqua" w:hAnsi="Book Antiqua" w:cs="Book Antiqua"/>
          <w:b/>
          <w:i/>
        </w:rPr>
        <w:t xml:space="preserve">Ministria e Drejtësisë – Ministarstvo Pravde – Ministry of Justice </w:t>
      </w:r>
    </w:p>
    <w:p w:rsidR="00C311BB" w:rsidRDefault="00120778">
      <w:pPr>
        <w:spacing w:after="61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046597" cy="18288"/>
                <wp:effectExtent l="0" t="0" r="0" b="0"/>
                <wp:docPr id="12838" name="Group 12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597" cy="18288"/>
                          <a:chOff x="0" y="0"/>
                          <a:chExt cx="6046597" cy="18288"/>
                        </a:xfrm>
                      </wpg:grpSpPr>
                      <wps:wsp>
                        <wps:cNvPr id="16228" name="Shape 16228"/>
                        <wps:cNvSpPr/>
                        <wps:spPr>
                          <a:xfrm>
                            <a:off x="0" y="0"/>
                            <a:ext cx="60465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597" h="18288">
                                <a:moveTo>
                                  <a:pt x="0" y="0"/>
                                </a:moveTo>
                                <a:lnTo>
                                  <a:pt x="6046597" y="0"/>
                                </a:lnTo>
                                <a:lnTo>
                                  <a:pt x="60465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38" style="width:476.11pt;height:1.44pt;mso-position-horizontal-relative:char;mso-position-vertical-relative:line" coordsize="60465,182">
                <v:shape id="Shape 16229" style="position:absolute;width:60465;height:182;left:0;top:0;" coordsize="6046597,18288" path="m0,0l6046597,0l604659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311BB" w:rsidRDefault="00120778">
      <w:pPr>
        <w:spacing w:after="102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AA5E45" w:rsidRDefault="00120778" w:rsidP="00AA5E45">
      <w:pPr>
        <w:spacing w:after="3021" w:line="259" w:lineRule="auto"/>
        <w:ind w:left="92" w:firstLine="0"/>
        <w:jc w:val="center"/>
      </w:pPr>
      <w:r>
        <w:rPr>
          <w:sz w:val="40"/>
        </w:rPr>
        <w:t xml:space="preserve"> Uputstva za aplikante </w:t>
      </w:r>
    </w:p>
    <w:p w:rsidR="00C311BB" w:rsidRDefault="00AA5E45" w:rsidP="00AA5E45">
      <w:pPr>
        <w:spacing w:after="2867" w:line="259" w:lineRule="auto"/>
        <w:ind w:left="2996" w:firstLine="0"/>
        <w:jc w:val="left"/>
      </w:pPr>
      <w:r>
        <w:rPr>
          <w:sz w:val="24"/>
        </w:rPr>
        <w:t>Datum otvaranja poziva: 5.11.2025</w:t>
      </w:r>
    </w:p>
    <w:p w:rsidR="00C311BB" w:rsidRDefault="00120778">
      <w:pPr>
        <w:spacing w:after="8" w:line="259" w:lineRule="auto"/>
        <w:ind w:left="0" w:firstLine="0"/>
        <w:jc w:val="left"/>
      </w:pPr>
      <w:r>
        <w:rPr>
          <w:sz w:val="24"/>
        </w:rPr>
        <w:t xml:space="preserve">  </w:t>
      </w:r>
    </w:p>
    <w:p w:rsidR="00C311BB" w:rsidRDefault="00120778">
      <w:pPr>
        <w:spacing w:after="229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</w:p>
    <w:p w:rsidR="00C311BB" w:rsidRDefault="00120778">
      <w:pPr>
        <w:spacing w:after="219" w:line="249" w:lineRule="auto"/>
        <w:ind w:left="2291"/>
        <w:jc w:val="left"/>
      </w:pPr>
      <w:r>
        <w:rPr>
          <w:sz w:val="24"/>
        </w:rPr>
        <w:t xml:space="preserve">Poslednji </w:t>
      </w:r>
      <w:r w:rsidR="00AA5E45">
        <w:rPr>
          <w:sz w:val="24"/>
        </w:rPr>
        <w:t>rok za podnošenje aplikacija: 26.11.2025</w:t>
      </w:r>
      <w:r>
        <w:rPr>
          <w:sz w:val="24"/>
        </w:rPr>
        <w:t xml:space="preserve"> </w:t>
      </w:r>
    </w:p>
    <w:p w:rsidR="00C311BB" w:rsidRDefault="00120778">
      <w:pPr>
        <w:spacing w:after="256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lastRenderedPageBreak/>
        <w:t xml:space="preserve"> </w:t>
      </w:r>
    </w:p>
    <w:p w:rsidR="00C311BB" w:rsidRDefault="00120778">
      <w:pPr>
        <w:numPr>
          <w:ilvl w:val="0"/>
          <w:numId w:val="1"/>
        </w:numPr>
        <w:spacing w:after="225"/>
        <w:ind w:hanging="226"/>
      </w:pPr>
      <w:r>
        <w:t xml:space="preserve">PROBLEMI KOJI SE NAMERAVAJU REŠITI KROZ OVAJ JAVNI POZIV </w:t>
      </w:r>
    </w:p>
    <w:p w:rsidR="00C311BB" w:rsidRDefault="00120778">
      <w:pPr>
        <w:numPr>
          <w:ilvl w:val="1"/>
          <w:numId w:val="1"/>
        </w:numPr>
        <w:spacing w:after="303"/>
        <w:ind w:hanging="389"/>
      </w:pPr>
      <w:r>
        <w:t xml:space="preserve">Ciljevi poziva i prioriteti dodele sredstava </w:t>
      </w:r>
    </w:p>
    <w:p w:rsidR="00C311BB" w:rsidRDefault="00120778">
      <w:pPr>
        <w:numPr>
          <w:ilvl w:val="1"/>
          <w:numId w:val="1"/>
        </w:numPr>
        <w:ind w:hanging="389"/>
      </w:pPr>
      <w:r>
        <w:t>Planirana vrednost finansijske podrške za projekte i ukupna vrednost poziva</w:t>
      </w:r>
      <w:r>
        <w:rPr>
          <w:rFonts w:ascii="Cambria" w:eastAsia="Cambria" w:hAnsi="Cambria" w:cs="Cambria"/>
          <w:sz w:val="32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"/>
        </w:numPr>
        <w:spacing w:after="262"/>
        <w:ind w:hanging="226"/>
      </w:pPr>
      <w:r>
        <w:t xml:space="preserve">FORMALNI USLOVI POZIVA </w:t>
      </w:r>
    </w:p>
    <w:p w:rsidR="00C311BB" w:rsidRDefault="00120778">
      <w:pPr>
        <w:numPr>
          <w:ilvl w:val="1"/>
          <w:numId w:val="1"/>
        </w:numPr>
        <w:spacing w:after="229"/>
        <w:ind w:hanging="389"/>
      </w:pPr>
      <w:r>
        <w:t xml:space="preserve">Prihvatljivi aplikanti, ko može aplicirati?  </w:t>
      </w:r>
    </w:p>
    <w:p w:rsidR="00C311BB" w:rsidRDefault="00120778">
      <w:pPr>
        <w:numPr>
          <w:ilvl w:val="1"/>
          <w:numId w:val="1"/>
        </w:numPr>
        <w:spacing w:after="267"/>
        <w:ind w:hanging="389"/>
      </w:pPr>
      <w:r>
        <w:t xml:space="preserve">NVO-i koji ne mogu aplicirati </w:t>
      </w:r>
    </w:p>
    <w:p w:rsidR="00C311BB" w:rsidRDefault="00120778">
      <w:pPr>
        <w:numPr>
          <w:ilvl w:val="1"/>
          <w:numId w:val="1"/>
        </w:numPr>
        <w:spacing w:after="268"/>
        <w:ind w:hanging="389"/>
      </w:pPr>
      <w:r>
        <w:t xml:space="preserve">Ograničenja u finansiranju projekata </w:t>
      </w:r>
    </w:p>
    <w:p w:rsidR="00C311BB" w:rsidRDefault="00120778">
      <w:pPr>
        <w:numPr>
          <w:ilvl w:val="1"/>
          <w:numId w:val="1"/>
        </w:numPr>
        <w:spacing w:after="265"/>
        <w:ind w:hanging="389"/>
      </w:pPr>
      <w:r>
        <w:t xml:space="preserve">Prihvatljivi partneri u sprovođenju projekta/programa </w:t>
      </w:r>
    </w:p>
    <w:p w:rsidR="00C311BB" w:rsidRDefault="00120778">
      <w:pPr>
        <w:numPr>
          <w:ilvl w:val="1"/>
          <w:numId w:val="1"/>
        </w:numPr>
        <w:spacing w:after="269"/>
        <w:ind w:hanging="389"/>
      </w:pPr>
      <w:r>
        <w:t xml:space="preserve">Prihvatljive aktivnosti koje će se finansirati kroz poziv </w:t>
      </w:r>
    </w:p>
    <w:p w:rsidR="00C311BB" w:rsidRDefault="00120778">
      <w:pPr>
        <w:numPr>
          <w:ilvl w:val="1"/>
          <w:numId w:val="1"/>
        </w:numPr>
        <w:spacing w:after="266"/>
        <w:ind w:hanging="389"/>
      </w:pPr>
      <w:r>
        <w:t xml:space="preserve">Prihvatljivi troškovi koji će se finansirati kroz poziv </w:t>
      </w:r>
    </w:p>
    <w:p w:rsidR="00C311BB" w:rsidRDefault="00120778">
      <w:pPr>
        <w:numPr>
          <w:ilvl w:val="1"/>
          <w:numId w:val="1"/>
        </w:numPr>
        <w:spacing w:after="267"/>
        <w:ind w:hanging="389"/>
      </w:pPr>
      <w:r>
        <w:t xml:space="preserve">Direktni prihvatljivi troškovi </w:t>
      </w:r>
    </w:p>
    <w:p w:rsidR="00C311BB" w:rsidRDefault="00120778">
      <w:pPr>
        <w:numPr>
          <w:ilvl w:val="1"/>
          <w:numId w:val="1"/>
        </w:numPr>
        <w:spacing w:after="260"/>
        <w:ind w:hanging="389"/>
      </w:pPr>
      <w:r>
        <w:t xml:space="preserve">Indirektni prihvatljivi troškovi </w:t>
      </w:r>
    </w:p>
    <w:p w:rsidR="00C311BB" w:rsidRDefault="00120778">
      <w:pPr>
        <w:numPr>
          <w:ilvl w:val="1"/>
          <w:numId w:val="1"/>
        </w:numPr>
        <w:spacing w:after="52"/>
        <w:ind w:hanging="389"/>
      </w:pPr>
      <w:r>
        <w:t xml:space="preserve">Neprihvatljivi troškovi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"/>
        </w:numPr>
        <w:spacing w:after="237"/>
        <w:ind w:hanging="226"/>
      </w:pPr>
      <w:r>
        <w:t xml:space="preserve">KAKO APLICIRATI?  </w:t>
      </w:r>
    </w:p>
    <w:p w:rsidR="00C311BB" w:rsidRDefault="00120778">
      <w:pPr>
        <w:numPr>
          <w:ilvl w:val="1"/>
          <w:numId w:val="1"/>
        </w:numPr>
        <w:spacing w:after="234"/>
        <w:ind w:hanging="389"/>
      </w:pPr>
      <w:r>
        <w:t xml:space="preserve">Spisak obaveznih obrazaca, rokovi i način ugovaranja </w:t>
      </w:r>
    </w:p>
    <w:p w:rsidR="00C311BB" w:rsidRDefault="00120778">
      <w:pPr>
        <w:numPr>
          <w:ilvl w:val="1"/>
          <w:numId w:val="1"/>
        </w:numPr>
        <w:spacing w:after="260"/>
        <w:ind w:hanging="389"/>
      </w:pPr>
      <w:r>
        <w:t xml:space="preserve">Obrazac aplikacije predloga projekta </w:t>
      </w:r>
    </w:p>
    <w:p w:rsidR="00C311BB" w:rsidRDefault="00120778">
      <w:pPr>
        <w:numPr>
          <w:ilvl w:val="1"/>
          <w:numId w:val="1"/>
        </w:numPr>
        <w:spacing w:after="229"/>
        <w:ind w:hanging="389"/>
      </w:pPr>
      <w:r>
        <w:t xml:space="preserve">Sadržaj obrasca budžeta </w:t>
      </w:r>
    </w:p>
    <w:p w:rsidR="00C311BB" w:rsidRDefault="00120778">
      <w:pPr>
        <w:numPr>
          <w:ilvl w:val="1"/>
          <w:numId w:val="1"/>
        </w:numPr>
        <w:spacing w:after="254"/>
        <w:ind w:hanging="389"/>
      </w:pPr>
      <w:r>
        <w:t xml:space="preserve">Gde se podnosi aplikacija?  </w:t>
      </w:r>
    </w:p>
    <w:p w:rsidR="00C311BB" w:rsidRDefault="00120778">
      <w:pPr>
        <w:numPr>
          <w:ilvl w:val="1"/>
          <w:numId w:val="1"/>
        </w:numPr>
        <w:spacing w:after="224"/>
        <w:ind w:hanging="389"/>
      </w:pPr>
      <w:r>
        <w:t xml:space="preserve">Poslednji rok za podnošenje aplikacije </w:t>
      </w:r>
    </w:p>
    <w:p w:rsidR="00C311BB" w:rsidRDefault="00120778">
      <w:pPr>
        <w:numPr>
          <w:ilvl w:val="1"/>
          <w:numId w:val="1"/>
        </w:numPr>
        <w:spacing w:after="52"/>
        <w:ind w:hanging="389"/>
      </w:pPr>
      <w:r>
        <w:t xml:space="preserve">Kako kontaktirati ako imate pitanja?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"/>
        </w:numPr>
        <w:spacing w:after="256"/>
        <w:ind w:hanging="226"/>
      </w:pPr>
      <w:r>
        <w:t xml:space="preserve">PROCENA I DODELA SREDSTAVA </w:t>
      </w:r>
    </w:p>
    <w:p w:rsidR="00C311BB" w:rsidRDefault="00120778">
      <w:pPr>
        <w:numPr>
          <w:ilvl w:val="1"/>
          <w:numId w:val="1"/>
        </w:numPr>
        <w:spacing w:after="268"/>
        <w:ind w:hanging="389"/>
      </w:pPr>
      <w:r>
        <w:t xml:space="preserve">Primljene aplikacije će proći kroz dole navedenu proceduru </w:t>
      </w:r>
    </w:p>
    <w:p w:rsidR="00C311BB" w:rsidRDefault="00120778">
      <w:pPr>
        <w:numPr>
          <w:ilvl w:val="1"/>
          <w:numId w:val="1"/>
        </w:numPr>
        <w:ind w:hanging="389"/>
      </w:pPr>
      <w:r>
        <w:t xml:space="preserve">Dodatna dokumentacija i ugovaranje </w:t>
      </w:r>
    </w:p>
    <w:p w:rsidR="00C311BB" w:rsidRDefault="00120778">
      <w:pPr>
        <w:spacing w:after="0" w:line="259" w:lineRule="auto"/>
        <w:ind w:left="36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"/>
        </w:numPr>
        <w:ind w:hanging="226"/>
      </w:pPr>
      <w:r>
        <w:t xml:space="preserve">INDIKATIVNI KALENDAR REALIZACIJE POZIVA </w:t>
      </w:r>
    </w:p>
    <w:p w:rsidR="00C311BB" w:rsidRDefault="00120778">
      <w:pPr>
        <w:spacing w:after="99" w:line="259" w:lineRule="auto"/>
        <w:ind w:left="720" w:firstLine="0"/>
        <w:jc w:val="left"/>
      </w:pPr>
      <w:r>
        <w:rPr>
          <w:sz w:val="10"/>
        </w:rPr>
        <w:t xml:space="preserve"> </w:t>
      </w:r>
    </w:p>
    <w:p w:rsidR="00C311BB" w:rsidRDefault="00120778">
      <w:pPr>
        <w:numPr>
          <w:ilvl w:val="0"/>
          <w:numId w:val="1"/>
        </w:numPr>
        <w:ind w:hanging="226"/>
      </w:pPr>
      <w:r>
        <w:t xml:space="preserve">SPISAK DOKUMENATA JAVNOG POZIVA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 w:rsidP="00EB7713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 </w:t>
      </w:r>
    </w:p>
    <w:p w:rsidR="00C311BB" w:rsidRDefault="00120778">
      <w:pPr>
        <w:pStyle w:val="Heading1"/>
      </w:pPr>
      <w:r>
        <w:lastRenderedPageBreak/>
        <w:t>Javni poziv za javnu finansijsku podršku projektima NVO-a licenciranih</w:t>
      </w:r>
      <w:r w:rsidR="00367E9D">
        <w:t xml:space="preserve"> oblasti socijalnih  </w:t>
      </w:r>
      <w:r>
        <w:t xml:space="preserve"> usluga</w:t>
      </w:r>
      <w:r>
        <w:rPr>
          <w:b w:val="0"/>
          <w:color w:val="0D0D0D"/>
        </w:rPr>
        <w:t xml:space="preserve"> </w:t>
      </w:r>
    </w:p>
    <w:p w:rsidR="00C311BB" w:rsidRDefault="00120778">
      <w:pPr>
        <w:spacing w:after="93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132" w:line="259" w:lineRule="auto"/>
        <w:ind w:left="360" w:firstLine="0"/>
        <w:jc w:val="left"/>
      </w:pPr>
      <w:r>
        <w:rPr>
          <w:b/>
          <w:color w:val="0D0D0D"/>
          <w:sz w:val="20"/>
        </w:rPr>
        <w:t>1.</w:t>
      </w:r>
      <w:r>
        <w:rPr>
          <w:rFonts w:ascii="Arial" w:eastAsia="Arial" w:hAnsi="Arial" w:cs="Arial"/>
          <w:b/>
          <w:color w:val="0D0D0D"/>
          <w:sz w:val="20"/>
        </w:rPr>
        <w:t xml:space="preserve"> </w:t>
      </w:r>
      <w:r>
        <w:rPr>
          <w:b/>
          <w:color w:val="0D0D0D"/>
          <w:sz w:val="20"/>
        </w:rPr>
        <w:t xml:space="preserve">PROBLEMI KOJI SE NAMERAVAJU REŠAVATI KROZ OVAJ JAVNI POZIV </w:t>
      </w:r>
    </w:p>
    <w:p w:rsidR="00C311BB" w:rsidRDefault="00120778">
      <w:pPr>
        <w:spacing w:after="186" w:line="259" w:lineRule="auto"/>
        <w:ind w:left="720" w:firstLine="0"/>
        <w:jc w:val="left"/>
      </w:pPr>
      <w:r>
        <w:rPr>
          <w:b/>
          <w:color w:val="0D0D0D"/>
          <w:sz w:val="20"/>
        </w:rPr>
        <w:t xml:space="preserve"> </w:t>
      </w:r>
    </w:p>
    <w:p w:rsidR="00C311BB" w:rsidRDefault="00120778">
      <w:pPr>
        <w:spacing w:after="210" w:line="309" w:lineRule="auto"/>
        <w:ind w:left="-5"/>
      </w:pPr>
      <w:r>
        <w:t xml:space="preserve">Ministarstvo Pravda je odgovorno za razvoj politike, izradu zakona, standarda, strateških planova za pružanje socijalnih i porodičnih usluga stanovništvu Kosova i obezbeđuje pravilno sprovođenje od strane opština i drugih organizacija koje pružaju socijalne i porodične usluge. </w:t>
      </w:r>
    </w:p>
    <w:p w:rsidR="00C311BB" w:rsidRDefault="00120778">
      <w:pPr>
        <w:spacing w:after="222" w:line="302" w:lineRule="auto"/>
        <w:ind w:left="-5"/>
      </w:pPr>
      <w:r>
        <w:t xml:space="preserve">Kroz finansijsku podršku projektima licenciranih nevladinih organizacija, želimo da </w:t>
      </w:r>
      <w:r w:rsidR="0080281B">
        <w:t>povećamo</w:t>
      </w:r>
      <w:r>
        <w:t xml:space="preserve"> dostupnost, kvalitet i održivost socijalnih usluga i proširimo pružanje usluga osobama koje žive u riziku od socijalne isključenosti. Kategorije koje </w:t>
      </w:r>
      <w:r w:rsidR="00D33B23">
        <w:t>će</w:t>
      </w:r>
      <w:r>
        <w:t xml:space="preserve"> imati koristi su ugrožene zajednice, posebno deca i odrasli u potrebi, ranjive i isključene osobe, žrtve porodičnog nasilja, žrtve trgovine ljudima i starije osobe. </w:t>
      </w:r>
    </w:p>
    <w:p w:rsidR="00C311BB" w:rsidRDefault="00120778">
      <w:pPr>
        <w:spacing w:after="203" w:line="306" w:lineRule="auto"/>
        <w:ind w:left="-5"/>
      </w:pPr>
      <w:r>
        <w:t xml:space="preserve">Socijalne usluge se pružaju uglavnom na lokalnom </w:t>
      </w:r>
      <w:r w:rsidR="00367E9D">
        <w:t xml:space="preserve">nivou, </w:t>
      </w:r>
      <w:r w:rsidR="0080281B">
        <w:t>uključujući</w:t>
      </w:r>
      <w:r w:rsidR="00367E9D">
        <w:t xml:space="preserve"> Opštinske D</w:t>
      </w:r>
      <w:r>
        <w:t xml:space="preserve">irekcije za </w:t>
      </w:r>
      <w:r w:rsidR="00367E9D">
        <w:t>Zdravstvo i Socijalnu Z</w:t>
      </w:r>
      <w:r>
        <w:t xml:space="preserve">aštitu, Centre za Socijalni Rad (CSR), rezidencijalne institucije i mrežu </w:t>
      </w:r>
      <w:r w:rsidR="00367E9D">
        <w:t>NVO</w:t>
      </w:r>
      <w:r>
        <w:t xml:space="preserve"> registrovanih i licenciranih za podršku ugroženim grupama. </w:t>
      </w:r>
    </w:p>
    <w:p w:rsidR="00C311BB" w:rsidRDefault="00120778">
      <w:pPr>
        <w:spacing w:after="170" w:line="309" w:lineRule="auto"/>
        <w:ind w:left="-5"/>
      </w:pPr>
      <w:r>
        <w:t xml:space="preserve">Socijalne službe su i jesu u gorem stanju od 2020 godine u odnosu na prethodne godine, što je zbog štete prouzrokovane pandemijom Covid-19 uticalo na porast zahteva za podršku. Pandemija je </w:t>
      </w:r>
      <w:r w:rsidR="0080281B">
        <w:t>povećala</w:t>
      </w:r>
      <w:r>
        <w:t xml:space="preserve"> broj slučajeva kojima su potrebne socijalne usluge, dok je velika </w:t>
      </w:r>
      <w:r w:rsidR="0080281B">
        <w:t>većina</w:t>
      </w:r>
      <w:r>
        <w:t xml:space="preserve"> usluga koje pružaj</w:t>
      </w:r>
      <w:r w:rsidR="00367E9D">
        <w:t>u institucije Republike Kosovo, jedan deo socijalnih i porodičnih usluga za ranjive grupe pruža se od strane nevladinog sektora.</w:t>
      </w:r>
    </w:p>
    <w:p w:rsidR="00C311BB" w:rsidRDefault="00120778">
      <w:pPr>
        <w:spacing w:line="330" w:lineRule="auto"/>
        <w:ind w:left="-5"/>
      </w:pPr>
      <w:r>
        <w:t xml:space="preserve">Sistem socijalnih i porodičnih usluga karakteriše ograničena pokrivenost i nizak kvalitet zbog brojnih izazova, </w:t>
      </w:r>
      <w:r w:rsidR="0080281B">
        <w:t>uključujući</w:t>
      </w:r>
      <w:r>
        <w:t xml:space="preserve"> finansijske, administrativne i ljudske kapacitete.</w:t>
      </w:r>
      <w:r w:rsidR="00367E9D">
        <w:t xml:space="preserve"> </w:t>
      </w:r>
      <w:r>
        <w:t>Opštine ili druge organizacije mogu pružati socija</w:t>
      </w:r>
      <w:r w:rsidR="00367E9D">
        <w:t>lne i porodične usluge, ali MP</w:t>
      </w:r>
      <w:r>
        <w:t xml:space="preserve"> zadržava pravo da odredi gde, kako i kako ko </w:t>
      </w:r>
      <w:r w:rsidR="0080281B">
        <w:t>će</w:t>
      </w:r>
      <w:r>
        <w:t xml:space="preserve"> pružati ove usluge, </w:t>
      </w:r>
      <w:r w:rsidR="0080281B">
        <w:t>uključujući</w:t>
      </w:r>
      <w:r>
        <w:t xml:space="preserve"> pravo na pružanje ovih usluga direktno ili putem ugovaranja i javnih poziva licenciranim </w:t>
      </w:r>
    </w:p>
    <w:p w:rsidR="00C311BB" w:rsidRDefault="00120778">
      <w:pPr>
        <w:spacing w:after="229"/>
        <w:ind w:left="-5"/>
      </w:pPr>
      <w:r>
        <w:t xml:space="preserve">NVO. </w:t>
      </w:r>
    </w:p>
    <w:p w:rsidR="00C311BB" w:rsidRDefault="00120778">
      <w:pPr>
        <w:spacing w:after="165" w:line="309" w:lineRule="auto"/>
        <w:ind w:left="-5"/>
      </w:pPr>
      <w:r>
        <w:t xml:space="preserve">Cilj ovog javnog poziva je pružanje podrške licenciranim nevladinim organizacijama u nastavku ili započinjanju sprovođenja projekata za bolje socijalne i porodične usluge. Cilj mu je takođe </w:t>
      </w:r>
      <w:r w:rsidR="0080281B">
        <w:t>povećati</w:t>
      </w:r>
      <w:r>
        <w:t xml:space="preserve"> dostupnost, kvalitet i održivost osnovnih i poboljšanih socijalnih usluga za decu, osobe sa invaliditetom, stare, žrtve nasilja, žrtve trgovine ljudima i osobe koje žive u riziku od socijalne isključenosti. </w:t>
      </w:r>
    </w:p>
    <w:p w:rsidR="00C311BB" w:rsidRDefault="00120778">
      <w:pPr>
        <w:spacing w:after="218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EB7713" w:rsidRDefault="00EB7713">
      <w:pPr>
        <w:spacing w:after="0" w:line="259" w:lineRule="auto"/>
        <w:ind w:left="0" w:firstLine="0"/>
        <w:jc w:val="left"/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C311BB" w:rsidRDefault="00120778" w:rsidP="004677FF">
      <w:pPr>
        <w:pStyle w:val="Heading2"/>
        <w:ind w:left="0" w:firstLine="0"/>
      </w:pPr>
      <w:r>
        <w:lastRenderedPageBreak/>
        <w:t xml:space="preserve">1.1.Ciljevi poziva i prioriteti dodele sredstava </w:t>
      </w:r>
    </w:p>
    <w:p w:rsidR="00C311BB" w:rsidRDefault="00120778">
      <w:pPr>
        <w:spacing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279" w:line="265" w:lineRule="auto"/>
        <w:ind w:left="-5"/>
        <w:jc w:val="left"/>
        <w:rPr>
          <w:rFonts w:ascii="Book Antiqua" w:eastAsia="Book Antiqua" w:hAnsi="Book Antiqua" w:cs="Book Antiqua"/>
          <w:sz w:val="24"/>
        </w:rPr>
      </w:pPr>
      <w:r>
        <w:rPr>
          <w:i/>
          <w:color w:val="0D0D0D"/>
        </w:rPr>
        <w:t>Opšti ciljevi ovog poziva su:</w:t>
      </w:r>
      <w:r>
        <w:rPr>
          <w:rFonts w:ascii="Book Antiqua" w:eastAsia="Book Antiqua" w:hAnsi="Book Antiqua" w:cs="Book Antiqua"/>
          <w:sz w:val="24"/>
        </w:rPr>
        <w:t xml:space="preserve"> </w:t>
      </w:r>
    </w:p>
    <w:p w:rsidR="008170E3" w:rsidRDefault="004677FF" w:rsidP="008170E3">
      <w:pPr>
        <w:pStyle w:val="ListParagraph"/>
        <w:numPr>
          <w:ilvl w:val="0"/>
          <w:numId w:val="17"/>
        </w:numPr>
        <w:spacing w:after="279" w:line="265" w:lineRule="auto"/>
        <w:jc w:val="left"/>
      </w:pPr>
      <w:r>
        <w:t>Dnevne i porodične usluge za decu i odrasle sa invaliditetom;</w:t>
      </w:r>
      <w:r w:rsidR="008170E3">
        <w:t xml:space="preserve">                                                            </w:t>
      </w:r>
    </w:p>
    <w:p w:rsidR="004E20FB" w:rsidRDefault="00120778" w:rsidP="008170E3">
      <w:pPr>
        <w:pStyle w:val="ListParagraph"/>
        <w:numPr>
          <w:ilvl w:val="0"/>
          <w:numId w:val="18"/>
        </w:numPr>
        <w:spacing w:after="279" w:line="265" w:lineRule="auto"/>
        <w:jc w:val="left"/>
      </w:pPr>
      <w:r>
        <w:t xml:space="preserve">Usluge rehabilitacije i lečenja za osobe sa posebnim potrebama dece i odraslih (slepi, gluvi, tetraplegični, paraplegični, sa Dovnovim sindromom, autizmom itd.) </w:t>
      </w:r>
      <w:r w:rsidR="008170E3">
        <w:t xml:space="preserve">                                                  </w:t>
      </w:r>
    </w:p>
    <w:p w:rsidR="004E20FB" w:rsidRDefault="00120778" w:rsidP="008170E3">
      <w:pPr>
        <w:pStyle w:val="ListParagraph"/>
        <w:numPr>
          <w:ilvl w:val="0"/>
          <w:numId w:val="18"/>
        </w:numPr>
        <w:spacing w:after="279" w:line="265" w:lineRule="auto"/>
        <w:jc w:val="left"/>
      </w:pPr>
      <w:r>
        <w:t xml:space="preserve">Usluge zaštite, psihosocijalno savetovanje za decu i odrasle sa i ograničenim sposobnostima. </w:t>
      </w:r>
    </w:p>
    <w:p w:rsidR="004E20FB" w:rsidRDefault="008170E3" w:rsidP="008170E3">
      <w:pPr>
        <w:pStyle w:val="ListParagraph"/>
        <w:numPr>
          <w:ilvl w:val="0"/>
          <w:numId w:val="18"/>
        </w:numPr>
        <w:spacing w:after="279" w:line="265" w:lineRule="auto"/>
        <w:jc w:val="left"/>
      </w:pPr>
      <w:r>
        <w:t xml:space="preserve">Dnevne i porodične usluge za starije osobe bez porodične starenje.                                                              </w:t>
      </w:r>
    </w:p>
    <w:p w:rsidR="008170E3" w:rsidRDefault="008170E3" w:rsidP="008170E3">
      <w:pPr>
        <w:pStyle w:val="ListParagraph"/>
        <w:numPr>
          <w:ilvl w:val="0"/>
          <w:numId w:val="18"/>
        </w:numPr>
        <w:spacing w:after="279" w:line="265" w:lineRule="auto"/>
        <w:jc w:val="left"/>
      </w:pPr>
      <w:r>
        <w:t>Usluge u kući za starije osobe bez porodične starenje putem mobilnih psihosocijalnih usluga podrške.</w:t>
      </w:r>
    </w:p>
    <w:p w:rsidR="00C311BB" w:rsidRDefault="00120778" w:rsidP="00653E14">
      <w:pPr>
        <w:spacing w:after="69" w:line="259" w:lineRule="auto"/>
        <w:ind w:left="0" w:firstLine="0"/>
        <w:jc w:val="left"/>
      </w:pPr>
      <w:r>
        <w:rPr>
          <w:i/>
          <w:color w:val="0D0D0D"/>
        </w:rPr>
        <w:t xml:space="preserve">Specifični ciljevi ovog poziva su: </w:t>
      </w:r>
    </w:p>
    <w:p w:rsidR="008170E3" w:rsidRDefault="008170E3" w:rsidP="004E20FB">
      <w:pPr>
        <w:pStyle w:val="ListParagraph"/>
        <w:numPr>
          <w:ilvl w:val="0"/>
          <w:numId w:val="18"/>
        </w:numPr>
        <w:spacing w:after="49"/>
      </w:pPr>
      <w:r>
        <w:t>Poboljšanje pristupa dece i odraslih u potrebi kvalitetnijim uslugama u kući;</w:t>
      </w:r>
    </w:p>
    <w:p w:rsidR="008170E3" w:rsidRDefault="004E20FB" w:rsidP="004E20FB">
      <w:pPr>
        <w:pStyle w:val="ListParagraph"/>
        <w:numPr>
          <w:ilvl w:val="0"/>
          <w:numId w:val="18"/>
        </w:numPr>
        <w:spacing w:after="49"/>
      </w:pPr>
      <w:r>
        <w:t>P</w:t>
      </w:r>
      <w:r w:rsidR="008170E3">
        <w:t>ovećanje kvaliteta porodičnih usluga za decu, osobe sa invaliditetom i starije osobe;</w:t>
      </w:r>
    </w:p>
    <w:p w:rsidR="004E20FB" w:rsidRDefault="008170E3" w:rsidP="008170E3">
      <w:pPr>
        <w:numPr>
          <w:ilvl w:val="0"/>
          <w:numId w:val="2"/>
        </w:numPr>
        <w:spacing w:after="49"/>
        <w:ind w:hanging="360"/>
      </w:pPr>
      <w:r>
        <w:t>Pružanje usluga za decu u oblasti rane intervencije, reintegracije i alternativnog staranja za decu u potrebi;</w:t>
      </w:r>
    </w:p>
    <w:p w:rsidR="00C311BB" w:rsidRDefault="00120778" w:rsidP="008170E3">
      <w:pPr>
        <w:numPr>
          <w:ilvl w:val="0"/>
          <w:numId w:val="2"/>
        </w:numPr>
        <w:spacing w:after="49"/>
        <w:ind w:hanging="360"/>
      </w:pPr>
      <w:r>
        <w:t xml:space="preserve">Pružanje saveta, vežbama, psiho-socijalne podrške, podrške u fizioterapiji, </w:t>
      </w:r>
      <w:r w:rsidR="000569C0">
        <w:t>kućne</w:t>
      </w:r>
      <w:r>
        <w:t xml:space="preserve"> nege i drugih usluga za decu i odrasle. </w:t>
      </w:r>
    </w:p>
    <w:p w:rsidR="00C311BB" w:rsidRDefault="00120778">
      <w:pPr>
        <w:numPr>
          <w:ilvl w:val="0"/>
          <w:numId w:val="2"/>
        </w:numPr>
        <w:ind w:hanging="360"/>
      </w:pPr>
      <w:r>
        <w:t xml:space="preserve">Pružanje saveta, vežbama, psihosocijalne podrške, fizioterapije, fizikalne terapije, logopedije, ergoterapije, nege, </w:t>
      </w:r>
      <w:r w:rsidR="000569C0">
        <w:t>samopomoći</w:t>
      </w:r>
      <w:r>
        <w:t xml:space="preserve">, uzajamne podrške i drugih relevantnih usluga za decu i odrasle kojima je to potrebno. </w:t>
      </w:r>
    </w:p>
    <w:p w:rsidR="00C311BB" w:rsidRDefault="00120778">
      <w:pPr>
        <w:spacing w:after="203" w:line="259" w:lineRule="auto"/>
        <w:ind w:left="720" w:firstLine="0"/>
        <w:jc w:val="left"/>
      </w:pPr>
      <w:r>
        <w:rPr>
          <w:sz w:val="10"/>
        </w:rPr>
        <w:t xml:space="preserve"> </w:t>
      </w:r>
    </w:p>
    <w:p w:rsidR="00C311BB" w:rsidRDefault="00120778">
      <w:pPr>
        <w:pStyle w:val="Heading3"/>
        <w:spacing w:after="243"/>
        <w:ind w:left="-5"/>
      </w:pPr>
      <w:r>
        <w:t xml:space="preserve">1.2. Planirana vrednost finansijske podrške za projekte i ukupan iznos poziva </w:t>
      </w:r>
    </w:p>
    <w:p w:rsidR="00C311BB" w:rsidRDefault="00120778" w:rsidP="00653E14">
      <w:pPr>
        <w:ind w:left="708" w:firstLine="0"/>
      </w:pPr>
      <w:r>
        <w:t>Za javnu finansijsku podršku projektima u okviru ovog javn</w:t>
      </w:r>
      <w:r w:rsidR="00653E14">
        <w:t>og poziva obezbeđuje se iznos od</w:t>
      </w:r>
      <w:r>
        <w:t xml:space="preserve"> </w:t>
      </w:r>
      <w:r w:rsidR="00653E14">
        <w:t xml:space="preserve">35,000 iz </w:t>
      </w:r>
      <w:r>
        <w:t xml:space="preserve">odobrenog budžeta od </w:t>
      </w:r>
      <w:r w:rsidR="00653E14">
        <w:rPr>
          <w:b/>
        </w:rPr>
        <w:t>2,5</w:t>
      </w:r>
      <w:r>
        <w:rPr>
          <w:b/>
        </w:rPr>
        <w:t>00</w:t>
      </w:r>
      <w:r w:rsidR="00653E14">
        <w:rPr>
          <w:b/>
        </w:rPr>
        <w:t>,0</w:t>
      </w:r>
      <w:r>
        <w:rPr>
          <w:b/>
        </w:rPr>
        <w:t>00</w:t>
      </w:r>
      <w:r w:rsidR="00653E14">
        <w:rPr>
          <w:b/>
        </w:rPr>
        <w:t>.00</w:t>
      </w:r>
      <w:r>
        <w:rPr>
          <w:b/>
        </w:rPr>
        <w:t xml:space="preserve"> evra</w:t>
      </w:r>
      <w:r>
        <w:t xml:space="preserve">; </w:t>
      </w:r>
    </w:p>
    <w:p w:rsidR="00C311BB" w:rsidRDefault="00120778">
      <w:pPr>
        <w:spacing w:after="35" w:line="259" w:lineRule="auto"/>
        <w:ind w:left="0" w:firstLine="0"/>
        <w:jc w:val="left"/>
      </w:pPr>
      <w:r>
        <w:t xml:space="preserve"> </w:t>
      </w:r>
    </w:p>
    <w:p w:rsidR="00C311BB" w:rsidRDefault="00120778" w:rsidP="00653E14">
      <w:pPr>
        <w:numPr>
          <w:ilvl w:val="0"/>
          <w:numId w:val="3"/>
        </w:numPr>
        <w:spacing w:line="299" w:lineRule="auto"/>
        <w:ind w:hanging="360"/>
      </w:pPr>
      <w:r>
        <w:t xml:space="preserve">Za NVO koje se prijavljuju sa projektima za sprovođenje aktivnosti </w:t>
      </w:r>
      <w:r w:rsidR="000569C0">
        <w:t>obuhvaćenih</w:t>
      </w:r>
      <w:r>
        <w:t xml:space="preserve"> javnim pozivom iz tačaka </w:t>
      </w:r>
      <w:r w:rsidRPr="00653E14">
        <w:rPr>
          <w:b/>
        </w:rPr>
        <w:t xml:space="preserve">3.1 do 3.3, </w:t>
      </w:r>
      <w:r w:rsidR="00653E14">
        <w:t xml:space="preserve">minimalni iznos </w:t>
      </w:r>
      <w:r>
        <w:t xml:space="preserve">za projekat je </w:t>
      </w:r>
      <w:r w:rsidR="00653E14">
        <w:t xml:space="preserve">8,000.00 </w:t>
      </w:r>
      <w:r>
        <w:t>evra, dok</w:t>
      </w:r>
      <w:r w:rsidR="00653E14">
        <w:t xml:space="preserve"> je maksimalan iznos je </w:t>
      </w:r>
      <w:r>
        <w:t xml:space="preserve"> </w:t>
      </w:r>
      <w:r w:rsidRPr="00653E14">
        <w:rPr>
          <w:b/>
        </w:rPr>
        <w:t>2</w:t>
      </w:r>
      <w:r w:rsidR="00653E14">
        <w:rPr>
          <w:b/>
        </w:rPr>
        <w:t>5</w:t>
      </w:r>
      <w:r w:rsidRPr="00653E14">
        <w:rPr>
          <w:b/>
        </w:rPr>
        <w:t>,000.00</w:t>
      </w:r>
      <w:r>
        <w:t xml:space="preserve"> evra; </w:t>
      </w:r>
    </w:p>
    <w:p w:rsidR="00C311BB" w:rsidRDefault="00120778">
      <w:pPr>
        <w:numPr>
          <w:ilvl w:val="0"/>
          <w:numId w:val="3"/>
        </w:numPr>
        <w:ind w:hanging="360"/>
      </w:pPr>
      <w:r>
        <w:t xml:space="preserve">Podnosioci prijava i potencijalni partneri nisu dužni da obezbede sufinansiranje, ali sufinansiranje koje je potvrđeno i uključeno u obrazac za prijavu, a koje doprinosi realizaciji projektnih ciljeva i aktivnosti, </w:t>
      </w:r>
      <w:r w:rsidR="00332B4A">
        <w:t>oceniće</w:t>
      </w:r>
      <w:r>
        <w:t xml:space="preserve"> se kao dodata vrednost projektnog predloga. </w:t>
      </w:r>
    </w:p>
    <w:p w:rsidR="00C311BB" w:rsidRDefault="00120778">
      <w:pPr>
        <w:spacing w:after="7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4"/>
        </w:numPr>
        <w:spacing w:after="0" w:line="259" w:lineRule="auto"/>
        <w:ind w:hanging="225"/>
        <w:jc w:val="left"/>
      </w:pPr>
      <w:r>
        <w:rPr>
          <w:b/>
          <w:color w:val="0D0D0D"/>
        </w:rPr>
        <w:t xml:space="preserve">FORMALNI USLOVI POZIVA </w:t>
      </w:r>
    </w:p>
    <w:p w:rsidR="00C311BB" w:rsidRDefault="00120778">
      <w:pPr>
        <w:spacing w:after="53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1" w:line="259" w:lineRule="auto"/>
        <w:ind w:left="-5"/>
        <w:jc w:val="left"/>
      </w:pPr>
      <w:r>
        <w:rPr>
          <w:b/>
          <w:color w:val="0D0D0D"/>
          <w:sz w:val="24"/>
        </w:rPr>
        <w:t xml:space="preserve">2.1. Prihvatljivi aplikanti, ko može aplicirati? </w:t>
      </w:r>
    </w:p>
    <w:p w:rsidR="00C311BB" w:rsidRDefault="00120778">
      <w:pPr>
        <w:spacing w:after="1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5"/>
        </w:numPr>
        <w:spacing w:after="285" w:line="268" w:lineRule="auto"/>
        <w:ind w:hanging="360"/>
      </w:pPr>
      <w:r>
        <w:rPr>
          <w:color w:val="0D0D0D"/>
        </w:rPr>
        <w:t xml:space="preserve">NVO koje apliciraju da su registrovane, radi dokazivanja ovog zahteva, NVO koja aplicira mora da dostavi kopiju sertifikata o registraciji prilikom apliciranja; </w:t>
      </w:r>
    </w:p>
    <w:p w:rsidR="00C311BB" w:rsidRDefault="00120778">
      <w:pPr>
        <w:numPr>
          <w:ilvl w:val="0"/>
          <w:numId w:val="5"/>
        </w:numPr>
        <w:spacing w:after="285" w:line="268" w:lineRule="auto"/>
        <w:ind w:hanging="360"/>
      </w:pPr>
      <w:r>
        <w:rPr>
          <w:color w:val="0D0D0D"/>
        </w:rPr>
        <w:t xml:space="preserve">NVO koje apliciraju da su licencirane (da bi dokazali ovaj zahtev, NVO koja aplicira mora da dostavi kopiju licence prilikom apliciranja; </w:t>
      </w:r>
    </w:p>
    <w:p w:rsidR="00C311BB" w:rsidRDefault="00120778">
      <w:pPr>
        <w:numPr>
          <w:ilvl w:val="0"/>
          <w:numId w:val="5"/>
        </w:numPr>
        <w:spacing w:after="316" w:line="268" w:lineRule="auto"/>
        <w:ind w:hanging="360"/>
      </w:pPr>
      <w:r>
        <w:rPr>
          <w:color w:val="0D0D0D"/>
        </w:rPr>
        <w:t xml:space="preserve">Da je opremljena fiskalnim brojem, koji izdaje Poreska Administracija Kosova. Prilikom apliciranja, NVO mora dokazati ovaj zahtev putem kopije sertifikata fiskalnog broja; </w:t>
      </w:r>
    </w:p>
    <w:p w:rsidR="00653E14" w:rsidRPr="00653E14" w:rsidRDefault="00120778">
      <w:pPr>
        <w:numPr>
          <w:ilvl w:val="0"/>
          <w:numId w:val="5"/>
        </w:numPr>
        <w:spacing w:after="324" w:line="268" w:lineRule="auto"/>
        <w:ind w:hanging="360"/>
      </w:pPr>
      <w:r>
        <w:rPr>
          <w:color w:val="0D0D0D"/>
        </w:rPr>
        <w:t xml:space="preserve">NVO koje apliciraju moraju da izvrše sve poreske obaveze prema PAK-u. Iako u trenutku apliciranja može biti neplaćenih obaveza, NVO koja koristi javna sredstva pre potpisivanja ugovora mora dokazati </w:t>
      </w:r>
    </w:p>
    <w:p w:rsidR="00C311BB" w:rsidRDefault="00120778" w:rsidP="00653E14">
      <w:pPr>
        <w:spacing w:after="324" w:line="268" w:lineRule="auto"/>
        <w:ind w:left="360" w:firstLine="0"/>
      </w:pPr>
      <w:r>
        <w:rPr>
          <w:color w:val="0D0D0D"/>
        </w:rPr>
        <w:lastRenderedPageBreak/>
        <w:t xml:space="preserve">da je izvršila poreske obaveze ili je postigla bilo kakav sporazum sa PAK-om o njihovom izvršavanju u budućnosti. Postojanje dugova i drugih </w:t>
      </w:r>
      <w:r w:rsidR="000569C0">
        <w:rPr>
          <w:color w:val="0D0D0D"/>
        </w:rPr>
        <w:t>neizmerenih</w:t>
      </w:r>
      <w:r>
        <w:rPr>
          <w:color w:val="0D0D0D"/>
        </w:rPr>
        <w:t xml:space="preserve"> obaveza ne sme da utiče na sprovođenje projekta, stoga je neophodno rešavanje bilo kakve obaveze pre potpisivanja ugovora; </w:t>
      </w:r>
    </w:p>
    <w:p w:rsidR="00C311BB" w:rsidRDefault="00120778">
      <w:pPr>
        <w:numPr>
          <w:ilvl w:val="0"/>
          <w:numId w:val="5"/>
        </w:numPr>
        <w:spacing w:after="3" w:line="268" w:lineRule="auto"/>
        <w:ind w:hanging="360"/>
      </w:pPr>
      <w:r>
        <w:rPr>
          <w:color w:val="0D0D0D"/>
        </w:rPr>
        <w:t xml:space="preserve">NVO koja aplicira ne sme dobiti finansijska sredstva za realizaciju istih aktivnosti u odgovarajućoj fiskalnoj godini. Zbog toga se prilikom apliciranja zahteva jedna izjava koja izbegava dvostruko finansiranje za iste aktivnosti; </w:t>
      </w:r>
    </w:p>
    <w:p w:rsidR="00C311BB" w:rsidRDefault="00120778">
      <w:pPr>
        <w:spacing w:after="6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5"/>
        </w:numPr>
        <w:ind w:hanging="360"/>
      </w:pPr>
      <w:r>
        <w:t xml:space="preserve">Da podnesu predlog projekta u skladu sa obrascem aplikacije projekta/programa zajedno sa obrascem </w:t>
      </w:r>
    </w:p>
    <w:p w:rsidR="00C311BB" w:rsidRDefault="00120778">
      <w:pPr>
        <w:ind w:left="370"/>
      </w:pPr>
      <w:r>
        <w:t>predloga budžeta.</w:t>
      </w:r>
      <w:r>
        <w:rPr>
          <w:color w:val="0D0D0D"/>
        </w:rPr>
        <w:t xml:space="preserve"> </w:t>
      </w:r>
    </w:p>
    <w:p w:rsidR="00C311BB" w:rsidRDefault="00120778">
      <w:pPr>
        <w:spacing w:after="290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310" w:line="268" w:lineRule="auto"/>
        <w:ind w:left="-5"/>
      </w:pPr>
      <w:r>
        <w:rPr>
          <w:color w:val="0D0D0D"/>
        </w:rPr>
        <w:t xml:space="preserve">Da bi se podneti predlog aplikacije smatrao potpunim, podnosilac prijave mora da ispuni posebne minimalne kriterijume propisane sledećim odredbama; </w:t>
      </w:r>
    </w:p>
    <w:p w:rsidR="00C311BB" w:rsidRDefault="00653E14" w:rsidP="00653E14">
      <w:pPr>
        <w:numPr>
          <w:ilvl w:val="0"/>
          <w:numId w:val="5"/>
        </w:numPr>
        <w:spacing w:after="325" w:line="268" w:lineRule="auto"/>
        <w:ind w:hanging="360"/>
      </w:pPr>
      <w:r>
        <w:rPr>
          <w:color w:val="0D0D0D"/>
        </w:rPr>
        <w:t>D</w:t>
      </w:r>
      <w:r w:rsidR="00120778">
        <w:rPr>
          <w:color w:val="0D0D0D"/>
        </w:rPr>
        <w:t xml:space="preserve">a dostave predlog projekta u </w:t>
      </w:r>
      <w:r w:rsidR="000569C0">
        <w:rPr>
          <w:color w:val="0D0D0D"/>
        </w:rPr>
        <w:t>predviđanom</w:t>
      </w:r>
      <w:r w:rsidR="00120778">
        <w:rPr>
          <w:color w:val="0D0D0D"/>
        </w:rPr>
        <w:t xml:space="preserve"> roku poziva koji između ostalog, sadrži podatke o ciljevima, konkretnim ciljevima, aktivnostima, kalendar primene, ciljane rezultate, direktne korisnike i druge relevantne podatke na osnovu obrasca u okviru javnog poziva; </w:t>
      </w:r>
    </w:p>
    <w:p w:rsidR="00C311BB" w:rsidRDefault="00653E14">
      <w:pPr>
        <w:numPr>
          <w:ilvl w:val="0"/>
          <w:numId w:val="5"/>
        </w:numPr>
        <w:spacing w:after="323" w:line="268" w:lineRule="auto"/>
        <w:ind w:hanging="360"/>
      </w:pPr>
      <w:r>
        <w:rPr>
          <w:color w:val="0D0D0D"/>
        </w:rPr>
        <w:t>P</w:t>
      </w:r>
      <w:r w:rsidR="00120778">
        <w:rPr>
          <w:color w:val="0D0D0D"/>
        </w:rPr>
        <w:t xml:space="preserve">redlog projekta treba da bude praćen predlogom budžeta, u skladu sa formatom koji je ustanovljen u javnom pozivu i Priručniku za primenu ove Uredbe; </w:t>
      </w:r>
    </w:p>
    <w:p w:rsidR="00C311BB" w:rsidRDefault="00C22AF7">
      <w:pPr>
        <w:numPr>
          <w:ilvl w:val="0"/>
          <w:numId w:val="5"/>
        </w:numPr>
        <w:spacing w:after="315" w:line="268" w:lineRule="auto"/>
        <w:ind w:hanging="360"/>
      </w:pPr>
      <w:r>
        <w:rPr>
          <w:color w:val="0D0D0D"/>
        </w:rPr>
        <w:t>D</w:t>
      </w:r>
      <w:r w:rsidR="00120778">
        <w:rPr>
          <w:color w:val="0D0D0D"/>
        </w:rPr>
        <w:t>ostaviti podatke o ključnom os</w:t>
      </w:r>
      <w:r>
        <w:rPr>
          <w:color w:val="0D0D0D"/>
        </w:rPr>
        <w:t>oblju</w:t>
      </w:r>
      <w:r w:rsidR="00120778">
        <w:rPr>
          <w:color w:val="0D0D0D"/>
        </w:rPr>
        <w:t>, dostavljajući njihove biografije zajedno sa izjavom sa njihove strane da će raditi na projektu/programu, u slučaju sticanja koristi od fin</w:t>
      </w:r>
      <w:r>
        <w:rPr>
          <w:color w:val="0D0D0D"/>
        </w:rPr>
        <w:t>ansijske podrške;</w:t>
      </w:r>
    </w:p>
    <w:p w:rsidR="00C311BB" w:rsidRDefault="00120778">
      <w:pPr>
        <w:numPr>
          <w:ilvl w:val="0"/>
          <w:numId w:val="5"/>
        </w:numPr>
        <w:spacing w:line="297" w:lineRule="auto"/>
        <w:ind w:hanging="360"/>
      </w:pPr>
      <w:r>
        <w:t xml:space="preserve">Pokazati da imaju misiju i iskustvo u realizaciji sličnih projekata, </w:t>
      </w:r>
      <w:r w:rsidR="000569C0">
        <w:t>osiguravajući</w:t>
      </w:r>
      <w:r>
        <w:t xml:space="preserve"> </w:t>
      </w:r>
      <w:r w:rsidR="000569C0">
        <w:t xml:space="preserve">piritom </w:t>
      </w:r>
      <w:r>
        <w:t xml:space="preserve"> status NVO / Asocijacije ili dokaze o sličnim projektima u prošlosti; </w:t>
      </w:r>
    </w:p>
    <w:p w:rsidR="00C311BB" w:rsidRDefault="00120778">
      <w:pPr>
        <w:spacing w:after="0" w:line="259" w:lineRule="auto"/>
        <w:ind w:left="72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5"/>
        </w:numPr>
        <w:ind w:hanging="360"/>
      </w:pPr>
      <w:r>
        <w:t xml:space="preserve">Licenca NVO / aplikant i NVO / Partner izdata od strane MFRT/DSPP za obavljanje aktivnosti za </w:t>
      </w:r>
    </w:p>
    <w:p w:rsidR="00C311BB" w:rsidRDefault="00C22AF7" w:rsidP="00C22AF7">
      <w:r>
        <w:t xml:space="preserve">       </w:t>
      </w:r>
      <w:r w:rsidR="00120778">
        <w:t xml:space="preserve">pružanje socijalnih i porodičnih usluga. </w:t>
      </w:r>
    </w:p>
    <w:p w:rsidR="00C311BB" w:rsidRDefault="00120778">
      <w:pPr>
        <w:spacing w:after="266" w:line="259" w:lineRule="auto"/>
        <w:ind w:left="0" w:firstLine="0"/>
        <w:jc w:val="left"/>
      </w:pPr>
      <w:r>
        <w:rPr>
          <w:b/>
          <w:color w:val="0D0D0D"/>
          <w:sz w:val="24"/>
        </w:rPr>
        <w:t xml:space="preserve"> </w:t>
      </w:r>
    </w:p>
    <w:p w:rsidR="00C311BB" w:rsidRDefault="00120778" w:rsidP="00C22AF7">
      <w:pPr>
        <w:spacing w:after="262" w:line="259" w:lineRule="auto"/>
        <w:ind w:left="0" w:firstLine="0"/>
        <w:jc w:val="left"/>
      </w:pPr>
      <w:r>
        <w:rPr>
          <w:b/>
          <w:color w:val="0D0D0D"/>
          <w:sz w:val="24"/>
        </w:rPr>
        <w:t xml:space="preserve"> 2.2. NVO koje ne mogu aplicirati:</w:t>
      </w:r>
      <w:r>
        <w:rPr>
          <w:color w:val="0D0D0D"/>
          <w:sz w:val="24"/>
        </w:rPr>
        <w:t xml:space="preserve"> </w:t>
      </w:r>
    </w:p>
    <w:p w:rsidR="00C311BB" w:rsidRDefault="00120778">
      <w:pPr>
        <w:spacing w:after="558" w:line="268" w:lineRule="auto"/>
        <w:ind w:left="-5"/>
      </w:pPr>
      <w:r>
        <w:rPr>
          <w:color w:val="0D0D0D"/>
        </w:rPr>
        <w:t xml:space="preserve">NVO koje ne ispunjavaju opšte kriterijume i posebne kriterijume utvrđene u tački 2.1 ovog uputstva i članu 10.i 11. Uredbe MF-br. – 04/2017 o kriterijumima, standardima i procedurama javnog finansiranja NVO, ne mogu aplicirati za finansijsku podršku ili, u slučaju apliciranja, njihov dosije neće biti uzet u obzir u fazi pregleda i neće se kvalifikovati za finansijsku podršku. </w:t>
      </w:r>
    </w:p>
    <w:p w:rsidR="00C311BB" w:rsidRDefault="00120778">
      <w:pPr>
        <w:pStyle w:val="Heading3"/>
        <w:spacing w:after="242"/>
        <w:ind w:left="-5"/>
      </w:pPr>
      <w:r>
        <w:t>2.3. Ograničenja u finansiranju projekata</w:t>
      </w:r>
      <w:r>
        <w:rPr>
          <w:b w:val="0"/>
        </w:rPr>
        <w:t xml:space="preserve"> </w:t>
      </w:r>
    </w:p>
    <w:p w:rsidR="00C311BB" w:rsidRPr="00C22AF7" w:rsidRDefault="00C22AF7" w:rsidP="00C22AF7">
      <w:pPr>
        <w:ind w:left="-5"/>
      </w:pPr>
      <w:r>
        <w:t xml:space="preserve">NVO- </w:t>
      </w:r>
      <w:r w:rsidR="00120778">
        <w:t xml:space="preserve">mogu </w:t>
      </w:r>
      <w:r>
        <w:t>se prijaviti ili biti partneri ne više od jednog od</w:t>
      </w:r>
      <w:r w:rsidR="00120778">
        <w:t xml:space="preserve"> jednom (1) projektu u okviru ovog </w:t>
      </w:r>
      <w:r>
        <w:t xml:space="preserve">javnog </w:t>
      </w:r>
      <w:r w:rsidR="00120778">
        <w:t xml:space="preserve">poziva. </w:t>
      </w:r>
      <w:r>
        <w:t xml:space="preserve">                                 </w:t>
      </w:r>
    </w:p>
    <w:p w:rsidR="00C22AF7" w:rsidRPr="00C22AF7" w:rsidRDefault="00C22AF7" w:rsidP="00C22AF7">
      <w:pPr>
        <w:pStyle w:val="NormalWeb"/>
        <w:rPr>
          <w:sz w:val="22"/>
          <w:szCs w:val="22"/>
        </w:rPr>
      </w:pPr>
      <w:r w:rsidRPr="00C22AF7">
        <w:rPr>
          <w:sz w:val="22"/>
          <w:szCs w:val="22"/>
        </w:rPr>
        <w:t>NVO-</w:t>
      </w:r>
      <w:r>
        <w:rPr>
          <w:sz w:val="22"/>
          <w:szCs w:val="22"/>
        </w:rPr>
        <w:t>E</w:t>
      </w:r>
      <w:r w:rsidRPr="00C22AF7">
        <w:rPr>
          <w:sz w:val="22"/>
          <w:szCs w:val="22"/>
        </w:rPr>
        <w:t xml:space="preserve"> koje su licencirane i koje su dobile podršku od Vlade Kosova/MP tokom 2024. godine mogu da apliciraju, ali ne mogu da potpišu ugovor pre završetka projekta za koji su dobile finansijsku podršku od MP-a u 2024. godini.</w:t>
      </w:r>
    </w:p>
    <w:p w:rsidR="00C311BB" w:rsidRPr="00C22AF7" w:rsidRDefault="00C22AF7" w:rsidP="00C22AF7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NVO</w:t>
      </w:r>
      <w:r w:rsidRPr="00C22AF7">
        <w:rPr>
          <w:sz w:val="22"/>
          <w:szCs w:val="22"/>
        </w:rPr>
        <w:t>-e moraju biti registrovane, licencirane i da pružaju socijalne i porodične usluge i u opštinama na severu, a koje nisu ostvarile koristi tokom 2025. godine od Vlade Republike Kosovo za isti projekat/uslugu.</w:t>
      </w:r>
    </w:p>
    <w:p w:rsidR="00C311BB" w:rsidRDefault="00120778" w:rsidP="00C22AF7">
      <w:pPr>
        <w:pStyle w:val="Heading3"/>
        <w:ind w:left="0" w:firstLine="0"/>
      </w:pPr>
      <w:r>
        <w:lastRenderedPageBreak/>
        <w:t>2.4. Prihvatljivi partneri u sprovođenju projekta/programa</w:t>
      </w:r>
      <w:r>
        <w:rPr>
          <w:b w:val="0"/>
        </w:rPr>
        <w:t xml:space="preserve"> </w:t>
      </w:r>
    </w:p>
    <w:p w:rsidR="00C311BB" w:rsidRDefault="00120778">
      <w:pPr>
        <w:spacing w:after="328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 w:rsidP="00EB7713">
      <w:pPr>
        <w:spacing w:after="277" w:line="268" w:lineRule="auto"/>
        <w:ind w:left="0" w:firstLine="0"/>
      </w:pPr>
      <w:r>
        <w:rPr>
          <w:color w:val="0D0D0D"/>
        </w:rPr>
        <w:t xml:space="preserve">Nevladine organizacije mogu aplicirati za finansijsku podršku svojih projekata u okviru partnerstva sa drugim NVO. </w:t>
      </w:r>
    </w:p>
    <w:p w:rsidR="00C311BB" w:rsidRDefault="00120778">
      <w:pPr>
        <w:spacing w:after="3" w:line="268" w:lineRule="auto"/>
        <w:ind w:left="-5"/>
        <w:rPr>
          <w:color w:val="0D0D0D"/>
        </w:rPr>
      </w:pPr>
      <w:r>
        <w:rPr>
          <w:color w:val="0D0D0D"/>
        </w:rPr>
        <w:t xml:space="preserve">U slučajevima kada se predlaže sprovođenje projekata u partnerstvu sa NVO, moraju se podneti izjave o partnerstvu. </w:t>
      </w:r>
    </w:p>
    <w:p w:rsidR="005E66C4" w:rsidRDefault="005E66C4">
      <w:pPr>
        <w:spacing w:after="3" w:line="268" w:lineRule="auto"/>
        <w:ind w:left="-5"/>
      </w:pPr>
    </w:p>
    <w:p w:rsidR="00C311BB" w:rsidRDefault="00120778">
      <w:pPr>
        <w:spacing w:after="277" w:line="268" w:lineRule="auto"/>
        <w:ind w:left="-5"/>
      </w:pPr>
      <w:r>
        <w:rPr>
          <w:color w:val="0D0D0D"/>
        </w:rPr>
        <w:t xml:space="preserve">U slučajevima predloga projekata u partnerstvu NVO, trebalo bi uzeti u obzir formalne zahteve utvrđene u obrascu 12 Uredbe MF-br. – 04/2017 o kriterijumima, standardima i procedurama javnog finansiranja NVO. </w:t>
      </w:r>
    </w:p>
    <w:p w:rsidR="00C311BB" w:rsidRDefault="00120778">
      <w:pPr>
        <w:spacing w:after="317" w:line="268" w:lineRule="auto"/>
        <w:ind w:left="-5"/>
      </w:pPr>
      <w:r>
        <w:rPr>
          <w:color w:val="0D0D0D"/>
        </w:rPr>
        <w:t xml:space="preserve">Partnerstvo uključuje odnose između NVO koje podrazumeva odgovornost za sprovođenje finansiranog programa/projekta od strane davalaca finansijske podrške. Kako bi se projekat/program sprovodio bez problema, sve organizacije koje su deo partnerstva moraju biti saglasne sa principima dobre prakse u partnerstvu: </w:t>
      </w:r>
    </w:p>
    <w:p w:rsidR="00C311BB" w:rsidRDefault="00120778">
      <w:pPr>
        <w:numPr>
          <w:ilvl w:val="0"/>
          <w:numId w:val="6"/>
        </w:numPr>
        <w:spacing w:after="282" w:line="268" w:lineRule="auto"/>
        <w:ind w:hanging="360"/>
      </w:pPr>
      <w:r>
        <w:rPr>
          <w:color w:val="0D0D0D"/>
        </w:rPr>
        <w:t xml:space="preserve">Pre podnošenja aplikacije davaocu finansijske podrške, svi partneri će pročitati tekst javnog poziva i uputstva za podnošenje aplikacija i razumeti svoju ulogu u projektu/programu; </w:t>
      </w:r>
    </w:p>
    <w:p w:rsidR="00C311BB" w:rsidRDefault="00120778">
      <w:pPr>
        <w:numPr>
          <w:ilvl w:val="0"/>
          <w:numId w:val="6"/>
        </w:numPr>
        <w:spacing w:after="261" w:line="268" w:lineRule="auto"/>
        <w:ind w:hanging="360"/>
      </w:pPr>
      <w:r>
        <w:rPr>
          <w:color w:val="0D0D0D"/>
        </w:rPr>
        <w:t xml:space="preserve">Svi partneri će ovlastiti aplikanta da ih zastupa u svim odnosima sa davaocem finansijske podrške u kontekstu sprovođenja projekta/programa; </w:t>
      </w:r>
    </w:p>
    <w:p w:rsidR="00C311BB" w:rsidRDefault="00120778">
      <w:pPr>
        <w:numPr>
          <w:ilvl w:val="0"/>
          <w:numId w:val="6"/>
        </w:numPr>
        <w:spacing w:after="279" w:line="268" w:lineRule="auto"/>
        <w:ind w:hanging="360"/>
      </w:pPr>
      <w:r>
        <w:rPr>
          <w:color w:val="0D0D0D"/>
        </w:rPr>
        <w:t xml:space="preserve">Aplikant i sve partnerske organizacije će se redovno sastajati i raditi zajedno na sprovođenju projekta/programa, proceni i razmatranju načina da se prevaziđu izazovi i poteškoće u sprovođenju projekta; </w:t>
      </w:r>
    </w:p>
    <w:p w:rsidR="00C311BB" w:rsidRDefault="00120778">
      <w:pPr>
        <w:numPr>
          <w:ilvl w:val="0"/>
          <w:numId w:val="6"/>
        </w:numPr>
        <w:spacing w:after="276" w:line="268" w:lineRule="auto"/>
        <w:ind w:hanging="360"/>
      </w:pPr>
      <w:r>
        <w:rPr>
          <w:color w:val="0D0D0D"/>
        </w:rPr>
        <w:t xml:space="preserve">Svi partneri će učestvovati u pripremi zajedničkih opisnih i posebnih finansijskih izveštaja, a aplikant u ime svih partnera dostavlja ih davaocu finansijske podrške; </w:t>
      </w:r>
    </w:p>
    <w:p w:rsidR="00C311BB" w:rsidRDefault="00120778">
      <w:pPr>
        <w:numPr>
          <w:ilvl w:val="0"/>
          <w:numId w:val="6"/>
        </w:numPr>
        <w:spacing w:after="3" w:line="268" w:lineRule="auto"/>
        <w:ind w:hanging="360"/>
      </w:pPr>
      <w:r>
        <w:rPr>
          <w:color w:val="0D0D0D"/>
        </w:rPr>
        <w:t xml:space="preserve">Predlog za izmene partnera projekta treba da bude putem sporazumom između partnera, dok ga aplikant </w:t>
      </w:r>
    </w:p>
    <w:p w:rsidR="00C311BB" w:rsidRDefault="00120778">
      <w:pPr>
        <w:spacing w:after="3" w:line="268" w:lineRule="auto"/>
        <w:ind w:left="370"/>
      </w:pPr>
      <w:r>
        <w:rPr>
          <w:color w:val="0D0D0D"/>
        </w:rPr>
        <w:t xml:space="preserve">dostavlja davaocu finansijske podrške; </w:t>
      </w:r>
    </w:p>
    <w:p w:rsidR="00C311BB" w:rsidRDefault="00120778">
      <w:pPr>
        <w:spacing w:after="0" w:line="259" w:lineRule="auto"/>
        <w:ind w:left="36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6"/>
        </w:numPr>
        <w:spacing w:after="279" w:line="265" w:lineRule="auto"/>
        <w:ind w:hanging="360"/>
      </w:pPr>
      <w:r>
        <w:rPr>
          <w:color w:val="0D0D0D"/>
        </w:rPr>
        <w:t>Izjava o partnerstvu</w:t>
      </w:r>
      <w:r>
        <w:rPr>
          <w:i/>
          <w:color w:val="0D0D0D"/>
        </w:rPr>
        <w:t xml:space="preserve"> (prema objavljenom obrascu)</w:t>
      </w:r>
      <w:r>
        <w:rPr>
          <w:color w:val="0D0D0D"/>
        </w:rPr>
        <w:t xml:space="preserve"> </w:t>
      </w:r>
      <w:r>
        <w:br w:type="page"/>
      </w:r>
    </w:p>
    <w:p w:rsidR="00C311BB" w:rsidRDefault="00120778">
      <w:pPr>
        <w:pStyle w:val="Heading3"/>
        <w:spacing w:after="284"/>
        <w:ind w:left="-5"/>
      </w:pPr>
      <w:r>
        <w:lastRenderedPageBreak/>
        <w:t>2.5. Prihvatljive aktivnosti koje će biti finansirane putem poziva</w:t>
      </w:r>
      <w:r>
        <w:rPr>
          <w:b w:val="0"/>
        </w:rPr>
        <w:t xml:space="preserve"> </w:t>
      </w:r>
    </w:p>
    <w:p w:rsidR="00C311BB" w:rsidRDefault="00120778">
      <w:pPr>
        <w:spacing w:after="0" w:line="265" w:lineRule="auto"/>
        <w:ind w:left="-5"/>
        <w:jc w:val="left"/>
      </w:pPr>
      <w:r>
        <w:rPr>
          <w:i/>
          <w:color w:val="0D0D0D"/>
        </w:rPr>
        <w:t xml:space="preserve">Period sprovođenja </w:t>
      </w:r>
    </w:p>
    <w:p w:rsidR="00C311BB" w:rsidRDefault="00120778">
      <w:pPr>
        <w:spacing w:after="22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7"/>
        </w:numPr>
        <w:spacing w:after="256" w:line="268" w:lineRule="auto"/>
        <w:ind w:hanging="361"/>
      </w:pPr>
      <w:r>
        <w:rPr>
          <w:color w:val="0D0D0D"/>
        </w:rPr>
        <w:t xml:space="preserve">Period sprovođenja projekta je 5 meseci. </w:t>
      </w:r>
    </w:p>
    <w:p w:rsidR="00C311BB" w:rsidRDefault="00120778">
      <w:pPr>
        <w:spacing w:after="279" w:line="265" w:lineRule="auto"/>
        <w:ind w:left="101"/>
        <w:jc w:val="left"/>
      </w:pPr>
      <w:r>
        <w:rPr>
          <w:i/>
          <w:color w:val="0D0D0D"/>
        </w:rPr>
        <w:t xml:space="preserve">Geografsko prostiranje sprovođenja </w:t>
      </w:r>
    </w:p>
    <w:p w:rsidR="00C311BB" w:rsidRDefault="00942791">
      <w:pPr>
        <w:numPr>
          <w:ilvl w:val="0"/>
          <w:numId w:val="7"/>
        </w:numPr>
        <w:spacing w:after="503" w:line="268" w:lineRule="auto"/>
        <w:ind w:hanging="361"/>
      </w:pPr>
      <w:r>
        <w:rPr>
          <w:color w:val="0D0D0D"/>
        </w:rPr>
        <w:t>Projekti se mogu sprovoditi u severnim</w:t>
      </w:r>
      <w:r w:rsidR="00120778">
        <w:rPr>
          <w:color w:val="0D0D0D"/>
        </w:rPr>
        <w:t xml:space="preserve"> opština Republike Kosovo </w:t>
      </w:r>
    </w:p>
    <w:p w:rsidR="00C311BB" w:rsidRDefault="00120778">
      <w:pPr>
        <w:spacing w:after="251" w:line="265" w:lineRule="auto"/>
        <w:ind w:left="101"/>
        <w:jc w:val="left"/>
      </w:pPr>
      <w:r>
        <w:rPr>
          <w:i/>
          <w:color w:val="0D0D0D"/>
        </w:rPr>
        <w:t xml:space="preserve">Glavne vrste aktivnosti koje će se finansirati putem poziva: </w:t>
      </w:r>
    </w:p>
    <w:p w:rsidR="00C311BB" w:rsidRPr="0019117A" w:rsidRDefault="00120778">
      <w:pPr>
        <w:spacing w:after="277"/>
        <w:ind w:left="101"/>
      </w:pPr>
      <w:r w:rsidRPr="0019117A">
        <w:t xml:space="preserve">Predloženi projekti za intervenciju treba da se fokusiraju na postizanje rezultata i treba da imaju snažan uticaj na poboljšanje života ciljnih korisnika na održiv način, tako da se: </w:t>
      </w:r>
    </w:p>
    <w:p w:rsidR="00942791" w:rsidRPr="0019117A" w:rsidRDefault="00942791" w:rsidP="00942791">
      <w:pPr>
        <w:ind w:left="730" w:firstLine="0"/>
      </w:pPr>
      <w:r w:rsidRPr="0019117A">
        <w:t>•</w:t>
      </w:r>
      <w:r w:rsidR="002B1202">
        <w:t xml:space="preserve"> </w:t>
      </w:r>
      <w:r w:rsidR="00120778" w:rsidRPr="0019117A">
        <w:t xml:space="preserve">Osigurati da korisnici imaju bolji pristup rezidencijalnim uslugama u zajednici i dnevnim </w:t>
      </w:r>
      <w:r w:rsidRPr="0019117A">
        <w:t xml:space="preserve">  </w:t>
      </w:r>
      <w:r w:rsidR="00120778" w:rsidRPr="0019117A">
        <w:t>boravcima;</w:t>
      </w:r>
    </w:p>
    <w:p w:rsidR="00C311BB" w:rsidRPr="0019117A" w:rsidRDefault="00120778" w:rsidP="00942791">
      <w:pPr>
        <w:ind w:left="730" w:firstLine="0"/>
      </w:pPr>
      <w:r w:rsidRPr="0019117A">
        <w:t xml:space="preserve"> </w:t>
      </w:r>
    </w:p>
    <w:p w:rsidR="00C311BB" w:rsidRPr="0019117A" w:rsidRDefault="00942791" w:rsidP="00942791">
      <w:pPr>
        <w:ind w:left="730" w:firstLine="0"/>
      </w:pPr>
      <w:r w:rsidRPr="0019117A">
        <w:t>•</w:t>
      </w:r>
      <w:r w:rsidR="002B1202">
        <w:t xml:space="preserve"> </w:t>
      </w:r>
      <w:r w:rsidR="00120778" w:rsidRPr="0019117A">
        <w:t xml:space="preserve">Poboljšati dobrobit korisnika u stambenim i dnevnim centrima </w:t>
      </w:r>
      <w:r w:rsidRPr="0019117A">
        <w:t xml:space="preserve">u zajednici </w:t>
      </w:r>
      <w:r w:rsidR="00120778" w:rsidRPr="0019117A">
        <w:t>za decu, ljude s</w:t>
      </w:r>
      <w:r w:rsidRPr="0019117A">
        <w:t>a invaliditetom i starije osobe</w:t>
      </w:r>
      <w:r w:rsidR="00120778" w:rsidRPr="0019117A">
        <w:t xml:space="preserve">; </w:t>
      </w:r>
    </w:p>
    <w:p w:rsidR="00942791" w:rsidRPr="0019117A" w:rsidRDefault="00942791" w:rsidP="00942791">
      <w:pPr>
        <w:ind w:left="730" w:firstLine="0"/>
      </w:pPr>
    </w:p>
    <w:p w:rsidR="00942791" w:rsidRPr="0019117A" w:rsidRDefault="00942791" w:rsidP="00942791">
      <w:pPr>
        <w:ind w:left="730" w:firstLine="0"/>
      </w:pPr>
      <w:r w:rsidRPr="0019117A">
        <w:t>•</w:t>
      </w:r>
      <w:r w:rsidR="002B1202">
        <w:t xml:space="preserve">  </w:t>
      </w:r>
      <w:r w:rsidRPr="0019117A">
        <w:t xml:space="preserve"> Da se obezbedi da korisnici imaju adekvatan pristup kvalitetnim porodičnim uslugama i uslugama u zajednici.</w:t>
      </w:r>
    </w:p>
    <w:p w:rsidR="00942791" w:rsidRPr="0019117A" w:rsidRDefault="00942791" w:rsidP="00942791">
      <w:pPr>
        <w:ind w:left="730" w:firstLine="0"/>
      </w:pPr>
    </w:p>
    <w:p w:rsidR="00942791" w:rsidRPr="0019117A" w:rsidRDefault="00942791" w:rsidP="00942791">
      <w:pPr>
        <w:ind w:left="730" w:firstLine="0"/>
      </w:pPr>
      <w:r w:rsidRPr="0019117A">
        <w:t xml:space="preserve">• </w:t>
      </w:r>
      <w:r w:rsidR="002B1202">
        <w:t xml:space="preserve"> </w:t>
      </w:r>
      <w:r w:rsidRPr="0019117A">
        <w:t>Da se zaštite deca i odrasli u potrebi kroz prevenciju, intervenciju i odgovarajuće upućivanje ka   javnim i nejavnim uslugama.</w:t>
      </w:r>
    </w:p>
    <w:p w:rsidR="00942791" w:rsidRPr="0019117A" w:rsidRDefault="00942791" w:rsidP="00942791">
      <w:pPr>
        <w:ind w:left="730" w:firstLine="0"/>
      </w:pPr>
    </w:p>
    <w:p w:rsidR="00C311BB" w:rsidRPr="0019117A" w:rsidRDefault="00942791" w:rsidP="00942791">
      <w:pPr>
        <w:ind w:left="730" w:firstLine="0"/>
      </w:pPr>
      <w:r w:rsidRPr="0019117A">
        <w:t xml:space="preserve">• </w:t>
      </w:r>
      <w:r w:rsidR="002B1202">
        <w:t xml:space="preserve"> </w:t>
      </w:r>
      <w:r w:rsidRPr="0019117A">
        <w:t>Da se obezbede</w:t>
      </w:r>
      <w:r w:rsidR="00120778" w:rsidRPr="0019117A">
        <w:t xml:space="preserve"> usluga savetovanja i psiho-socijalne podrške za decu i odrasle u rezidencijalnim centrima, dnevnim boravcima i porodici; </w:t>
      </w:r>
    </w:p>
    <w:p w:rsidR="00942791" w:rsidRPr="0019117A" w:rsidRDefault="00942791" w:rsidP="00942791">
      <w:pPr>
        <w:ind w:left="730" w:firstLine="0"/>
      </w:pPr>
    </w:p>
    <w:p w:rsidR="00942791" w:rsidRPr="0019117A" w:rsidRDefault="00942791" w:rsidP="00942791">
      <w:pPr>
        <w:ind w:left="730" w:firstLine="0"/>
      </w:pPr>
    </w:p>
    <w:p w:rsidR="00C311BB" w:rsidRPr="0019117A" w:rsidRDefault="00942791" w:rsidP="00942791">
      <w:pPr>
        <w:ind w:left="730" w:firstLine="0"/>
      </w:pPr>
      <w:r w:rsidRPr="0019117A">
        <w:t xml:space="preserve">• </w:t>
      </w:r>
      <w:r w:rsidR="002B1202">
        <w:t xml:space="preserve"> </w:t>
      </w:r>
      <w:r w:rsidRPr="0019117A">
        <w:t>Da se p</w:t>
      </w:r>
      <w:r w:rsidR="00120778" w:rsidRPr="0019117A">
        <w:t>ruž</w:t>
      </w:r>
      <w:r w:rsidRPr="0019117A">
        <w:t>aju</w:t>
      </w:r>
      <w:r w:rsidR="00120778" w:rsidRPr="0019117A">
        <w:t xml:space="preserve"> podršk</w:t>
      </w:r>
      <w:r w:rsidRPr="0019117A">
        <w:t>e</w:t>
      </w:r>
      <w:r w:rsidR="00120778" w:rsidRPr="0019117A">
        <w:t xml:space="preserve"> i usluge fizioterap</w:t>
      </w:r>
      <w:r w:rsidR="0019117A" w:rsidRPr="0019117A">
        <w:t>iji, logopediji, ergoterapiji</w:t>
      </w:r>
      <w:r w:rsidR="00120778" w:rsidRPr="0019117A">
        <w:t xml:space="preserve"> i drugim uslugama u skladu sa potrebama dece i odraslih u potrebi. </w:t>
      </w:r>
    </w:p>
    <w:p w:rsidR="00C311BB" w:rsidRPr="0019117A" w:rsidRDefault="00120778">
      <w:pPr>
        <w:spacing w:after="2" w:line="259" w:lineRule="auto"/>
        <w:ind w:left="720" w:firstLine="0"/>
        <w:jc w:val="left"/>
      </w:pPr>
      <w:r w:rsidRPr="0019117A">
        <w:t xml:space="preserve"> </w:t>
      </w:r>
    </w:p>
    <w:p w:rsidR="00C311BB" w:rsidRDefault="00120778" w:rsidP="0019117A">
      <w:pPr>
        <w:pStyle w:val="NoSpacing"/>
      </w:pPr>
      <w:r w:rsidRPr="0019117A">
        <w:t xml:space="preserve">Spisak aktivnosti projekta nije zatvoren, već samo ilustrativan i uzeće se u obzir za finansiranje i drugih odgovarajućih aktivnosti koje doprinose ostvarivanju opštih i posebnih ciljeva poziva, koji nisu navedeni u gornjem spisku. </w:t>
      </w:r>
    </w:p>
    <w:p w:rsidR="0019117A" w:rsidRPr="0019117A" w:rsidRDefault="0019117A" w:rsidP="0019117A">
      <w:pPr>
        <w:pStyle w:val="NoSpacing"/>
      </w:pPr>
    </w:p>
    <w:p w:rsidR="00C311BB" w:rsidRPr="0019117A" w:rsidRDefault="00120778" w:rsidP="0019117A">
      <w:pPr>
        <w:pStyle w:val="NoSpacing"/>
      </w:pPr>
      <w:r w:rsidRPr="0019117A">
        <w:t xml:space="preserve">Tokom sprovođenja aktivnosti projekta, aplikant mora da obezbedi da se zasnivana principu obezbeđivanja jednakih mogućnosti, rodne ravnopravnosti i nediskriminacije kao i razvijanja aktivnosti u skladu sa potrebama zajednice i građana.  </w:t>
      </w:r>
    </w:p>
    <w:p w:rsidR="00C311BB" w:rsidRPr="0019117A" w:rsidRDefault="00120778" w:rsidP="0019117A">
      <w:pPr>
        <w:pStyle w:val="NoSpacing"/>
      </w:pPr>
      <w:r w:rsidRPr="0019117A">
        <w:t xml:space="preserve"> </w:t>
      </w:r>
    </w:p>
    <w:p w:rsidR="00C311BB" w:rsidRDefault="00120778" w:rsidP="00EE66F9">
      <w:pPr>
        <w:pStyle w:val="NoSpacing"/>
        <w:sectPr w:rsidR="00C311BB">
          <w:pgSz w:w="11909" w:h="16838"/>
          <w:pgMar w:top="1445" w:right="1347" w:bottom="575" w:left="1095" w:header="708" w:footer="708" w:gutter="0"/>
          <w:cols w:space="708"/>
        </w:sectPr>
      </w:pPr>
      <w:r w:rsidRPr="0019117A">
        <w:t xml:space="preserve"> </w:t>
      </w:r>
    </w:p>
    <w:p w:rsidR="00C311BB" w:rsidRDefault="00120778" w:rsidP="00EE66F9">
      <w:pPr>
        <w:spacing w:after="386" w:line="265" w:lineRule="auto"/>
        <w:ind w:left="0" w:firstLine="0"/>
        <w:jc w:val="left"/>
      </w:pPr>
      <w:r>
        <w:rPr>
          <w:i/>
          <w:color w:val="0D0D0D"/>
        </w:rPr>
        <w:lastRenderedPageBreak/>
        <w:t xml:space="preserve">Aktivnosti koje nisu prihvatljivi za finansiranje  </w:t>
      </w:r>
    </w:p>
    <w:p w:rsidR="00C311BB" w:rsidRDefault="00120778">
      <w:pPr>
        <w:spacing w:after="247"/>
        <w:ind w:left="226"/>
      </w:pPr>
      <w:r>
        <w:t>Sledeće vrste aktivnosti nisu prihvatljive:</w:t>
      </w:r>
      <w:r>
        <w:rPr>
          <w:b/>
        </w:rPr>
        <w:t xml:space="preserve"> </w:t>
      </w:r>
    </w:p>
    <w:p w:rsidR="00C311BB" w:rsidRDefault="00120778">
      <w:pPr>
        <w:numPr>
          <w:ilvl w:val="0"/>
          <w:numId w:val="7"/>
        </w:numPr>
        <w:spacing w:after="46"/>
        <w:ind w:hanging="361"/>
      </w:pPr>
      <w:r>
        <w:t xml:space="preserve">Sve aktivnosti koje nisu vezane za direktno i efikasno pružanje socijalnih usluga ciljnim korisnicima; </w:t>
      </w:r>
    </w:p>
    <w:p w:rsidR="00C311BB" w:rsidRDefault="00120778">
      <w:pPr>
        <w:numPr>
          <w:ilvl w:val="0"/>
          <w:numId w:val="7"/>
        </w:numPr>
        <w:spacing w:after="46"/>
        <w:ind w:hanging="361"/>
      </w:pPr>
      <w:r>
        <w:t xml:space="preserve">Aktivnosti koje se odnose samo na zagovaranje i podizanje svesti, čak i ako se takvo podizanje svesti odnosi na socijalne usluge; </w:t>
      </w:r>
    </w:p>
    <w:p w:rsidR="00C311BB" w:rsidRDefault="00120778">
      <w:pPr>
        <w:numPr>
          <w:ilvl w:val="0"/>
          <w:numId w:val="7"/>
        </w:numPr>
        <w:ind w:hanging="361"/>
      </w:pPr>
      <w:r>
        <w:t>Aktivnosti koje</w:t>
      </w:r>
      <w:r w:rsidR="00466D4C">
        <w:t xml:space="preserve"> </w:t>
      </w:r>
      <w:r>
        <w:t xml:space="preserve">ne predstavljaju koeficijent odnosa u korist, vezano za pružanje socijalnih i porodičnih usluga za socijalne kategorije; </w:t>
      </w:r>
    </w:p>
    <w:p w:rsidR="00C311BB" w:rsidRDefault="00120778">
      <w:pPr>
        <w:numPr>
          <w:ilvl w:val="0"/>
          <w:numId w:val="7"/>
        </w:numPr>
        <w:spacing w:after="52"/>
        <w:ind w:hanging="361"/>
      </w:pPr>
      <w:r>
        <w:t>Aktivnosti koje</w:t>
      </w:r>
      <w:r w:rsidR="00466D4C">
        <w:t xml:space="preserve"> </w:t>
      </w:r>
      <w:r>
        <w:t xml:space="preserve">se odnose samo ili uglavnom na izgradnju kapaciteta osoblja projekta ili zainteresovanih strana;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Projekti koji u potpunosti ili uglavnom sadrže pripremne radove ili studije;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Projekti koji podržavaju pojedine političke stranke;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Glavno finansiranje aplikanata ili (gde je relevantno) njihovih partnera;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Finansiranje deficita i davanje kapitala;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Finansijske subvencije za druge organizacije;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Kupovina zemljišta, zgrade ili kancelarija; </w:t>
      </w:r>
    </w:p>
    <w:p w:rsidR="00C311BB" w:rsidRDefault="00120778">
      <w:pPr>
        <w:numPr>
          <w:ilvl w:val="0"/>
          <w:numId w:val="7"/>
        </w:numPr>
        <w:ind w:hanging="361"/>
      </w:pPr>
      <w:r>
        <w:t xml:space="preserve">Retroaktivno finansiranje projekata koji su već u toku ili su završeni. </w:t>
      </w:r>
    </w:p>
    <w:p w:rsidR="00C311BB" w:rsidRDefault="00120778">
      <w:pPr>
        <w:spacing w:after="45" w:line="259" w:lineRule="auto"/>
        <w:ind w:left="721" w:firstLine="0"/>
        <w:jc w:val="left"/>
      </w:pPr>
      <w:r>
        <w:t xml:space="preserve"> </w:t>
      </w:r>
    </w:p>
    <w:p w:rsidR="00C311BB" w:rsidRDefault="00120778">
      <w:pPr>
        <w:pStyle w:val="Heading3"/>
        <w:spacing w:after="267"/>
        <w:ind w:left="101"/>
      </w:pPr>
      <w:r>
        <w:t xml:space="preserve">2.6 Prihvatljivi troškovi koji će se finansirati preko poziva </w:t>
      </w:r>
    </w:p>
    <w:p w:rsidR="00C311BB" w:rsidRDefault="00120778">
      <w:pPr>
        <w:ind w:left="-5"/>
      </w:pPr>
      <w:r>
        <w:t xml:space="preserve">Preko javnih sredstava ovog javnog poziva mogu se finansirati samo stvarni i prihvatljivi troškovi za realizaciju projektnih aktivnosti u vremenskom periodu navedenom u ovim uputstvima. U proceni projekta/ programa biće procenjeni samo troškovi potreba vezanih za planirane aktivnosti, kao i stvarna visina ovih troškova.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Budžetirani troškovi trebaju biti realni i trebalo bi da budu više orijentisani ka efektivnijim troškovima u ostvarivanju očekivanih rezultata predložene aktivnosti. Prihvatljivi troškovi su stvarni troškovi aplikanta koji ispunjavaju sve navedene kriterijume: </w:t>
      </w: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E66F9" w:rsidRDefault="00EE66F9">
      <w:pPr>
        <w:ind w:left="-5"/>
      </w:pPr>
    </w:p>
    <w:p w:rsidR="00EB7713" w:rsidRDefault="00EB7713">
      <w:pPr>
        <w:ind w:left="-5"/>
      </w:pPr>
    </w:p>
    <w:p w:rsidR="00EB7713" w:rsidRDefault="00EB7713">
      <w:pPr>
        <w:ind w:left="-5"/>
      </w:pPr>
    </w:p>
    <w:p w:rsidR="00EB7713" w:rsidRDefault="00EB7713">
      <w:pPr>
        <w:ind w:left="-5"/>
      </w:pPr>
    </w:p>
    <w:p w:rsidR="00EB7713" w:rsidRDefault="00EB7713">
      <w:pPr>
        <w:ind w:left="-5"/>
      </w:pP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pStyle w:val="Heading3"/>
        <w:spacing w:after="277"/>
        <w:ind w:left="-5"/>
      </w:pPr>
      <w:r>
        <w:lastRenderedPageBreak/>
        <w:t>2.7. Direktni prihvatljivi troškovi</w:t>
      </w:r>
      <w:r>
        <w:rPr>
          <w:b w:val="0"/>
          <w:color w:val="000000"/>
        </w:rPr>
        <w:t xml:space="preserve"> </w:t>
      </w:r>
    </w:p>
    <w:p w:rsidR="00C311BB" w:rsidRDefault="00120778">
      <w:pPr>
        <w:ind w:left="-5"/>
      </w:pPr>
      <w:r>
        <w:t xml:space="preserve">Rashodi prema direktnim prihvatljivim troškovima uključuju troškove koji se direktno odnose na sprovođenju pojedinih aktivnosti projekata ili predloženih programskih aktivnosti kao što su: </w:t>
      </w:r>
    </w:p>
    <w:p w:rsidR="00C311BB" w:rsidRDefault="00120778">
      <w:pPr>
        <w:spacing w:after="39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8"/>
        </w:numPr>
        <w:spacing w:after="53"/>
        <w:ind w:hanging="361"/>
      </w:pPr>
      <w:r>
        <w:t>Organizovanje aktivnosti koje pružaju podršku stari</w:t>
      </w:r>
      <w:r w:rsidR="00EE66F9">
        <w:t xml:space="preserve">jim osobama, deci, </w:t>
      </w:r>
      <w:r>
        <w:t xml:space="preserve">itd. </w:t>
      </w:r>
    </w:p>
    <w:p w:rsidR="00C311BB" w:rsidRDefault="00120778">
      <w:pPr>
        <w:numPr>
          <w:ilvl w:val="0"/>
          <w:numId w:val="8"/>
        </w:numPr>
        <w:spacing w:after="48"/>
        <w:ind w:hanging="361"/>
      </w:pPr>
      <w:r>
        <w:t xml:space="preserve">Troškovi za snabdevanje hrane i medicinskih sredstava za klijente ili osobe koje su smeštene i primaju različite socijalne i porodične usluge; </w:t>
      </w:r>
    </w:p>
    <w:p w:rsidR="00C311BB" w:rsidRDefault="00120778">
      <w:pPr>
        <w:numPr>
          <w:ilvl w:val="0"/>
          <w:numId w:val="8"/>
        </w:numPr>
        <w:spacing w:after="53"/>
        <w:ind w:hanging="361"/>
      </w:pPr>
      <w:r>
        <w:t xml:space="preserve">Troškovi snabdevanja higijenskim materijalom za potrebe klijenata ili lica koja primaju usluge iz projekta; </w:t>
      </w:r>
    </w:p>
    <w:p w:rsidR="00C311BB" w:rsidRDefault="00120778">
      <w:pPr>
        <w:numPr>
          <w:ilvl w:val="0"/>
          <w:numId w:val="8"/>
        </w:numPr>
        <w:spacing w:after="47"/>
        <w:ind w:hanging="361"/>
      </w:pPr>
      <w:r>
        <w:t xml:space="preserve">Troškovi rukovodećeg i stručnog osoblja uključenog u sprovođenje projektnih aktivnosti, na osnovu vrste usluga koje pružaju i vremena dodeljene za sprovođenje projektnih aktivnosti; </w:t>
      </w:r>
    </w:p>
    <w:p w:rsidR="00C311BB" w:rsidRDefault="00120778">
      <w:pPr>
        <w:numPr>
          <w:ilvl w:val="0"/>
          <w:numId w:val="8"/>
        </w:numPr>
        <w:spacing w:after="51"/>
        <w:ind w:hanging="361"/>
      </w:pPr>
      <w:r>
        <w:t xml:space="preserve">Troškovi za plate i plaćanja za menadžere projekta/programa, ugovarača projekta od organizacija i partnera koji su uključeni u projekat, navodeći kategorije angažovanih stručnjaka, broj meseca angažovanja i mesečni bruto iznos kompenzacije; </w:t>
      </w:r>
    </w:p>
    <w:p w:rsidR="00C311BB" w:rsidRDefault="00120778">
      <w:pPr>
        <w:numPr>
          <w:ilvl w:val="0"/>
          <w:numId w:val="8"/>
        </w:numPr>
        <w:spacing w:after="32"/>
        <w:ind w:hanging="361"/>
      </w:pPr>
      <w:r>
        <w:t xml:space="preserve">Troškovi komunikacije (troškovi telefona, interneta, itd.) ovi troškovi treba da budu utvrđeni i mogu se finansirati do 10% i više od iznosa sredstava odobrenih od Komisije; </w:t>
      </w:r>
    </w:p>
    <w:p w:rsidR="00C311BB" w:rsidRDefault="00120778">
      <w:pPr>
        <w:numPr>
          <w:ilvl w:val="0"/>
          <w:numId w:val="8"/>
        </w:numPr>
        <w:ind w:hanging="361"/>
      </w:pPr>
      <w:r>
        <w:t xml:space="preserve">Troškovi edukacije i stručne obuke za klijente i kategorije korisnika koji su deo projekta; </w:t>
      </w:r>
    </w:p>
    <w:p w:rsidR="00C311BB" w:rsidRDefault="00120778">
      <w:pPr>
        <w:numPr>
          <w:ilvl w:val="0"/>
          <w:numId w:val="8"/>
        </w:numPr>
        <w:spacing w:after="52"/>
        <w:ind w:hanging="361"/>
      </w:pPr>
      <w:r>
        <w:t xml:space="preserve">Troškovi organizovanja psiho-socijalnih aktivnosti i savetovanja za klijente i kategorije korisnika koji su deo projekta; </w:t>
      </w:r>
    </w:p>
    <w:p w:rsidR="00C311BB" w:rsidRDefault="00120778">
      <w:pPr>
        <w:numPr>
          <w:ilvl w:val="0"/>
          <w:numId w:val="8"/>
        </w:numPr>
        <w:spacing w:after="53"/>
        <w:ind w:hanging="361"/>
      </w:pPr>
      <w:r>
        <w:t xml:space="preserve">Troškovi za odeću, ali treba da budu navedeni u predlogu projekta brojem i količinom za kvalifikovane korisnike ili kategorije korisnika koje su deo projekta; </w:t>
      </w:r>
    </w:p>
    <w:p w:rsidR="00C311BB" w:rsidRDefault="00120778">
      <w:pPr>
        <w:numPr>
          <w:ilvl w:val="0"/>
          <w:numId w:val="8"/>
        </w:numPr>
        <w:spacing w:after="48"/>
        <w:ind w:hanging="361"/>
      </w:pPr>
      <w:r>
        <w:t xml:space="preserve">Troškovi za prevoz i gorivo, koji su planirani za potrebe grejanja ili terenskih poseta i porodica (u zavisnosti od vrste projekta, može se dozvoliti do 10% iznosa sredstava odobrenih od Komisije) </w:t>
      </w:r>
    </w:p>
    <w:p w:rsidR="00C311BB" w:rsidRDefault="00120778">
      <w:pPr>
        <w:numPr>
          <w:ilvl w:val="0"/>
          <w:numId w:val="8"/>
        </w:numPr>
        <w:spacing w:after="51"/>
        <w:ind w:hanging="361"/>
      </w:pPr>
      <w:r>
        <w:t xml:space="preserve">Troškovi za prevoz i smeštaj za sprovođenje aktivnosti sa socijalnim i integrisanim kategorijama, navodeći broj ljudi, odredišta, učestalost i svrha putovanja i vrstu javnog prevoza, vrstu smeštaja i broja noćenja, može se dozvoliti do 10% iznosa sredstava odobrenih od Komisije); </w:t>
      </w:r>
    </w:p>
    <w:p w:rsidR="00C311BB" w:rsidRDefault="00120778">
      <w:pPr>
        <w:numPr>
          <w:ilvl w:val="0"/>
          <w:numId w:val="8"/>
        </w:numPr>
        <w:spacing w:after="53"/>
        <w:ind w:hanging="361"/>
      </w:pPr>
      <w:r>
        <w:t xml:space="preserve">Komunalni troškovi (voda, otpad, električna energija i grejanje) i održavanje, za projekte koji sprovode stambene ili dnevne aktivnosti; </w:t>
      </w:r>
    </w:p>
    <w:p w:rsidR="00C311BB" w:rsidRDefault="00120778">
      <w:pPr>
        <w:numPr>
          <w:ilvl w:val="0"/>
          <w:numId w:val="8"/>
        </w:numPr>
        <w:ind w:hanging="361"/>
      </w:pPr>
      <w:r>
        <w:t xml:space="preserve">Ostali troškovi koji nisu deo spiska neprihvatljivih troškova, koji su neophodni za sprovođenje projektnih aktivnosti (u zavisnosti od vrste projekta može se dozvoliti do 10% iznosa sredstava odobrenih od Komisije) </w:t>
      </w:r>
    </w:p>
    <w:p w:rsidR="00C311BB" w:rsidRDefault="00120778">
      <w:pPr>
        <w:spacing w:after="48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2.8. Prihvatljivi indirektni troškovi </w:t>
      </w:r>
    </w:p>
    <w:p w:rsidR="00C311BB" w:rsidRDefault="00120778">
      <w:pPr>
        <w:spacing w:after="218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line="296" w:lineRule="auto"/>
        <w:ind w:left="-5"/>
      </w:pPr>
      <w:r>
        <w:t xml:space="preserve">Pored direktnih prihvatljivih troškova, u okviru ovog poziva, takođe će biti prihvaćeni i indirektni troškovi (procenat ukupne vrednosti projekta/programa). U okviru ovih troškova </w:t>
      </w:r>
      <w:r w:rsidR="000C03D3">
        <w:t>obuhvaćeni su</w:t>
      </w:r>
      <w:r>
        <w:t xml:space="preserve"> troškovi koji nisu direktno vezani za realizaciju projekta ili programa, ali su troškovi koji posredno doprinose ostvarivanju ciljeva projekta. I ove troškove takođe treba navesti i objasniti u obrascima aplikacije projekata, budžeta i u drugim obrascima. </w:t>
      </w:r>
    </w:p>
    <w:p w:rsidR="00EE66F9" w:rsidRDefault="00EE66F9">
      <w:pPr>
        <w:spacing w:line="296" w:lineRule="auto"/>
        <w:ind w:left="-5"/>
      </w:pPr>
    </w:p>
    <w:p w:rsidR="00EE66F9" w:rsidRDefault="00EE66F9">
      <w:pPr>
        <w:spacing w:line="296" w:lineRule="auto"/>
        <w:ind w:left="-5"/>
      </w:pPr>
    </w:p>
    <w:p w:rsidR="00EB7713" w:rsidRDefault="00EB7713">
      <w:pPr>
        <w:spacing w:line="296" w:lineRule="auto"/>
        <w:ind w:left="-5"/>
      </w:pPr>
    </w:p>
    <w:p w:rsidR="00EB7713" w:rsidRDefault="00EB7713">
      <w:pPr>
        <w:spacing w:line="296" w:lineRule="auto"/>
        <w:ind w:left="-5"/>
      </w:pPr>
    </w:p>
    <w:p w:rsidR="00EB7713" w:rsidRDefault="00EB7713">
      <w:pPr>
        <w:spacing w:line="296" w:lineRule="auto"/>
        <w:ind w:left="-5"/>
      </w:pPr>
    </w:p>
    <w:p w:rsidR="00C311BB" w:rsidRDefault="00120778">
      <w:pPr>
        <w:pStyle w:val="Heading3"/>
        <w:spacing w:after="304"/>
        <w:ind w:left="-5"/>
      </w:pPr>
      <w:r>
        <w:lastRenderedPageBreak/>
        <w:t>2.9 Neprihvatljivi troškovi</w:t>
      </w:r>
      <w:r>
        <w:rPr>
          <w:b w:val="0"/>
        </w:rPr>
        <w:t xml:space="preserve"> </w:t>
      </w:r>
    </w:p>
    <w:p w:rsidR="00C311BB" w:rsidRDefault="00120778">
      <w:pPr>
        <w:spacing w:after="279" w:line="265" w:lineRule="auto"/>
        <w:ind w:left="-5"/>
        <w:jc w:val="left"/>
      </w:pPr>
      <w:r>
        <w:rPr>
          <w:i/>
          <w:color w:val="0D0D0D"/>
        </w:rPr>
        <w:t>Neprihvatljivi troškovi uključuju:</w:t>
      </w: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Takse, kamate na dugove i kamatne stope;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Kupovina, iznajmljivanje </w:t>
      </w:r>
      <w:r w:rsidR="006435D8">
        <w:rPr>
          <w:color w:val="0D0D0D"/>
        </w:rPr>
        <w:t xml:space="preserve">ili davanje pod zakup </w:t>
      </w:r>
      <w:r>
        <w:rPr>
          <w:color w:val="0D0D0D"/>
        </w:rPr>
        <w:t xml:space="preserve"> zemljišta i zgrada;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Investicije u kapital ili investicione kredite, garantne fondove; </w:t>
      </w:r>
    </w:p>
    <w:p w:rsidR="00C311BB" w:rsidRDefault="00120778">
      <w:pPr>
        <w:numPr>
          <w:ilvl w:val="0"/>
          <w:numId w:val="9"/>
        </w:numPr>
        <w:spacing w:after="27" w:line="268" w:lineRule="auto"/>
        <w:ind w:hanging="361"/>
      </w:pPr>
      <w:r>
        <w:rPr>
          <w:color w:val="0D0D0D"/>
        </w:rPr>
        <w:t xml:space="preserve">Troškovi za kupovinu opreme, nameštaja i manjih radova na renoviranju (samo troškove kupovina i manja renoviranja mogu biti prihvaćene do 10% od ukupne podrške usvojene od Komisije); </w:t>
      </w:r>
    </w:p>
    <w:p w:rsidR="00C311BB" w:rsidRDefault="00EE66F9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>K</w:t>
      </w:r>
      <w:r w:rsidR="00120778">
        <w:rPr>
          <w:color w:val="0D0D0D"/>
        </w:rPr>
        <w:t xml:space="preserve">azne, finansijske kazne i troškovi sudskih postupaka;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Isplata bonusa za zaposlene; </w:t>
      </w:r>
    </w:p>
    <w:p w:rsidR="00C311BB" w:rsidRDefault="00120778">
      <w:pPr>
        <w:numPr>
          <w:ilvl w:val="0"/>
          <w:numId w:val="9"/>
        </w:numPr>
        <w:spacing w:after="27" w:line="268" w:lineRule="auto"/>
        <w:ind w:hanging="361"/>
      </w:pPr>
      <w:r>
        <w:rPr>
          <w:color w:val="0D0D0D"/>
        </w:rPr>
        <w:t xml:space="preserve">Bankarske obaveze za otvaranje i upravljanje računima, tarife za finansijske transfere i druge tarife čisto finansijskog karaktera; </w:t>
      </w:r>
    </w:p>
    <w:p w:rsidR="00C311BB" w:rsidRDefault="00120778">
      <w:pPr>
        <w:numPr>
          <w:ilvl w:val="0"/>
          <w:numId w:val="9"/>
        </w:numPr>
        <w:spacing w:after="33" w:line="268" w:lineRule="auto"/>
        <w:ind w:hanging="361"/>
      </w:pPr>
      <w:r>
        <w:rPr>
          <w:color w:val="0D0D0D"/>
        </w:rPr>
        <w:t xml:space="preserve">Troškovi koji su već finansirani iz javnih izvora ili rashoda u periodu projekta finansiranog iz drugih izvora;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Kupovina korišćene opreme, mašina i nameštaja itd;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Troškovi koji nisu obuhvaćeni ugovorom (ugovor sa davaocem finansijske podrške);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Dobrotvorne donacije;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Krediti za druge organizacije ili pojedince; </w:t>
      </w:r>
    </w:p>
    <w:p w:rsidR="00C311BB" w:rsidRDefault="00120778">
      <w:pPr>
        <w:numPr>
          <w:ilvl w:val="0"/>
          <w:numId w:val="9"/>
        </w:numPr>
        <w:spacing w:after="3" w:line="268" w:lineRule="auto"/>
        <w:ind w:hanging="361"/>
      </w:pPr>
      <w:r>
        <w:rPr>
          <w:color w:val="0D0D0D"/>
        </w:rPr>
        <w:t xml:space="preserve">Ostali troškovi koji nisu direktno povezani sa sadržajem i ciljevima projekta.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spacing w:after="313" w:line="259" w:lineRule="auto"/>
        <w:ind w:left="-5"/>
        <w:jc w:val="left"/>
      </w:pPr>
      <w:r>
        <w:rPr>
          <w:b/>
          <w:color w:val="0D0D0D"/>
        </w:rPr>
        <w:t xml:space="preserve">3. KAKO APLICIRATI?  </w:t>
      </w:r>
    </w:p>
    <w:p w:rsidR="00C311BB" w:rsidRDefault="00120778">
      <w:pPr>
        <w:pStyle w:val="Heading3"/>
        <w:ind w:left="-5"/>
      </w:pPr>
      <w:r>
        <w:t xml:space="preserve">3.1 Spisak obaveznih obrazaca, uslova i načina ugovaranja </w:t>
      </w:r>
    </w:p>
    <w:p w:rsidR="00C311BB" w:rsidRDefault="00120778">
      <w:pPr>
        <w:spacing w:after="148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10"/>
        </w:rPr>
        <w:t xml:space="preserve"> </w:t>
      </w:r>
    </w:p>
    <w:p w:rsidR="00C311BB" w:rsidRDefault="00120778">
      <w:pPr>
        <w:spacing w:after="27" w:line="268" w:lineRule="auto"/>
        <w:ind w:left="-5"/>
      </w:pPr>
      <w:r>
        <w:rPr>
          <w:color w:val="0D0D0D"/>
        </w:rPr>
        <w:t xml:space="preserve">Apliciranje NVO-a će se smatrati potpunom ako sadrži sve obrasce apliciranja i obavezne anekse koji se zahtevaju u javnom pozivu i dokumentaciji poziva kao što sledi:  </w:t>
      </w:r>
    </w:p>
    <w:p w:rsidR="00C311BB" w:rsidRDefault="00EE66F9">
      <w:pPr>
        <w:numPr>
          <w:ilvl w:val="0"/>
          <w:numId w:val="10"/>
        </w:numPr>
        <w:ind w:hanging="721"/>
      </w:pPr>
      <w:r>
        <w:t>Obrazac P</w:t>
      </w:r>
      <w:r w:rsidR="00120778">
        <w:t xml:space="preserve">redloga projekta; </w:t>
      </w:r>
    </w:p>
    <w:p w:rsidR="00C311BB" w:rsidRDefault="00EE66F9">
      <w:pPr>
        <w:numPr>
          <w:ilvl w:val="0"/>
          <w:numId w:val="10"/>
        </w:numPr>
        <w:ind w:hanging="721"/>
      </w:pPr>
      <w:r>
        <w:t>Obrazac P</w:t>
      </w:r>
      <w:r w:rsidR="00120778">
        <w:t xml:space="preserve">redloga za budžet;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Obrazac Izjave o partnerstvu;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Kopija Sertifikata o registraciji NVO-a;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Kopija Licence izdata od MFRT-a; </w:t>
      </w:r>
    </w:p>
    <w:p w:rsidR="00C311BB" w:rsidRDefault="00D86FA9">
      <w:pPr>
        <w:numPr>
          <w:ilvl w:val="0"/>
          <w:numId w:val="10"/>
        </w:numPr>
        <w:ind w:hanging="721"/>
      </w:pPr>
      <w:r>
        <w:t>Kopija Sertifikata F</w:t>
      </w:r>
      <w:r w:rsidR="00120778">
        <w:t xml:space="preserve">iskalnog </w:t>
      </w:r>
      <w:r>
        <w:t>B</w:t>
      </w:r>
      <w:r w:rsidR="00120778">
        <w:t xml:space="preserve">roja;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Obrazac Izjave o nepostojanju dvostrukog finansiranja;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Obrazac izjave projekata ili programa NVO-a koje se finansiraju iz javnih izvora finansiranja; </w:t>
      </w:r>
    </w:p>
    <w:p w:rsidR="00C311BB" w:rsidRDefault="00120778">
      <w:pPr>
        <w:numPr>
          <w:ilvl w:val="0"/>
          <w:numId w:val="10"/>
        </w:numPr>
        <w:ind w:hanging="721"/>
      </w:pPr>
      <w:r>
        <w:t>Izjava o dostavljanju godišnjih finansijskih izveštaja u PAK za 202</w:t>
      </w:r>
      <w:r w:rsidR="00EE66F9">
        <w:t>3 ili 2024</w:t>
      </w:r>
      <w:r>
        <w:t xml:space="preserve">. godinu; </w:t>
      </w:r>
    </w:p>
    <w:p w:rsidR="00C311BB" w:rsidRDefault="00120778">
      <w:pPr>
        <w:numPr>
          <w:ilvl w:val="0"/>
          <w:numId w:val="10"/>
        </w:numPr>
        <w:spacing w:after="53"/>
        <w:ind w:hanging="721"/>
      </w:pPr>
      <w:r>
        <w:t>Po</w:t>
      </w:r>
      <w:r w:rsidR="00EE66F9">
        <w:t>tvrda od Poreske A</w:t>
      </w:r>
      <w:r>
        <w:t xml:space="preserve">dministracije Kosova o stanju obaveza ili javnog duga aplikanta i partnera koja potvrđuje da nema javni dug ili nema nekog sporazuma ili sporazum o brisanju obaveza ili javnog duga;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Pre potpisivanja ugovora, NVO mora da podnese dokaz da osoba zadužena za NVO i menadžer projekta nisu pod istragom za krivična dela, kao i dokaz da NVO ima rešena sva otvorena pitanja u vezi plaćanja doprinosa i neplaćenih poreza. </w:t>
      </w:r>
    </w:p>
    <w:p w:rsidR="00C311BB" w:rsidRDefault="00120778">
      <w:pPr>
        <w:spacing w:after="0" w:line="259" w:lineRule="auto"/>
        <w:ind w:left="721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  <w:rPr>
          <w:color w:val="0D0D0D"/>
        </w:rPr>
      </w:pPr>
      <w:r>
        <w:rPr>
          <w:color w:val="0D0D0D"/>
        </w:rPr>
        <w:t xml:space="preserve"> </w:t>
      </w:r>
    </w:p>
    <w:p w:rsidR="00EB7713" w:rsidRDefault="00EB7713">
      <w:pPr>
        <w:spacing w:after="0" w:line="259" w:lineRule="auto"/>
        <w:ind w:left="0" w:firstLine="0"/>
        <w:jc w:val="left"/>
        <w:rPr>
          <w:color w:val="0D0D0D"/>
        </w:rPr>
      </w:pPr>
    </w:p>
    <w:p w:rsidR="00EB7713" w:rsidRDefault="00EB7713">
      <w:pPr>
        <w:spacing w:after="0" w:line="259" w:lineRule="auto"/>
        <w:ind w:left="0" w:firstLine="0"/>
        <w:jc w:val="left"/>
        <w:rPr>
          <w:color w:val="0D0D0D"/>
        </w:rPr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C311BB" w:rsidRDefault="00120778">
      <w:pPr>
        <w:spacing w:after="0" w:line="259" w:lineRule="auto"/>
        <w:ind w:left="0" w:firstLine="0"/>
        <w:jc w:val="left"/>
      </w:pPr>
      <w:r>
        <w:rPr>
          <w:color w:val="0D0D0D"/>
        </w:rPr>
        <w:t xml:space="preserve">  </w:t>
      </w:r>
    </w:p>
    <w:p w:rsidR="00C311BB" w:rsidRDefault="00120778">
      <w:pPr>
        <w:spacing w:after="0" w:line="279" w:lineRule="auto"/>
        <w:ind w:left="0" w:firstLine="0"/>
        <w:jc w:val="left"/>
      </w:pPr>
      <w:r>
        <w:rPr>
          <w:i/>
        </w:rPr>
        <w:lastRenderedPageBreak/>
        <w:t xml:space="preserve">Aplikacija NVO-a će se smatrati potpunom ako sadrži sve obrasce za apliciranje i obavezne anekse koji se zahtevaju u javnom pozivu i dokumentaciji poziva kao što sledi: </w:t>
      </w:r>
    </w:p>
    <w:p w:rsidR="00C311BB" w:rsidRDefault="00120778">
      <w:pPr>
        <w:spacing w:after="38" w:line="259" w:lineRule="auto"/>
        <w:ind w:left="0" w:firstLine="0"/>
        <w:jc w:val="left"/>
      </w:pPr>
      <w:r>
        <w:rPr>
          <w:i/>
        </w:rPr>
        <w:t xml:space="preserve"> </w:t>
      </w:r>
    </w:p>
    <w:p w:rsidR="00C311BB" w:rsidRDefault="00120778">
      <w:pPr>
        <w:numPr>
          <w:ilvl w:val="0"/>
          <w:numId w:val="10"/>
        </w:numPr>
        <w:ind w:hanging="721"/>
      </w:pPr>
      <w:r>
        <w:t>Podnošenje aplikacija se vrši u zatvorenim kovertama, gde unutar koverte je smeštena odštampana kopija cele zahtevane originalne dokumentacije, kao i elektronska kopija na CD</w:t>
      </w:r>
      <w:r w:rsidR="00EE66F9">
        <w:t>/USB</w:t>
      </w:r>
      <w:r>
        <w:t xml:space="preserve">-u;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 w:rsidP="00EE66F9">
      <w:pPr>
        <w:numPr>
          <w:ilvl w:val="0"/>
          <w:numId w:val="10"/>
        </w:numPr>
        <w:ind w:hanging="721"/>
      </w:pPr>
      <w:r>
        <w:t xml:space="preserve">Dokumentaciju koju treba dostaviti i njen format navedeni su u uputstvima javnog poziva, u skladu sa </w:t>
      </w:r>
      <w:r w:rsidR="00EE66F9">
        <w:t xml:space="preserve"> </w:t>
      </w:r>
      <w:r>
        <w:t xml:space="preserve">zahtevima ove Uredbe i Priručnika za njegovo sprovođenje; </w:t>
      </w:r>
    </w:p>
    <w:p w:rsidR="00C311BB" w:rsidRDefault="00120778">
      <w:pPr>
        <w:spacing w:after="39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0"/>
        </w:numPr>
        <w:ind w:hanging="721"/>
      </w:pPr>
      <w:r>
        <w:t xml:space="preserve">Davalac finansijske podrške može takođe prihvatiti aplikacije putem elektronskih platformi, pod uslovom da se obezbedi poverljivost i nepovredivost primljenih aplikacija; </w:t>
      </w:r>
    </w:p>
    <w:p w:rsidR="00C311BB" w:rsidRDefault="00120778">
      <w:pPr>
        <w:spacing w:after="44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numPr>
          <w:ilvl w:val="0"/>
          <w:numId w:val="10"/>
        </w:numPr>
        <w:spacing w:line="302" w:lineRule="auto"/>
        <w:ind w:hanging="721"/>
      </w:pPr>
      <w:r>
        <w:t>U trenutku otvaranja javnih poziva, davalac finansijske podrške određuje tačnu adresu na kojoj treba da se podnese aplikacija, kao i datum početka i završetka</w:t>
      </w:r>
      <w:r>
        <w:rPr>
          <w:color w:val="0D0D0D"/>
        </w:rPr>
        <w:t xml:space="preserve">. </w:t>
      </w:r>
    </w:p>
    <w:p w:rsidR="00C311BB" w:rsidRDefault="00120778">
      <w:pPr>
        <w:spacing w:after="2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120778">
      <w:pPr>
        <w:pStyle w:val="Heading3"/>
        <w:spacing w:after="246"/>
        <w:ind w:left="-5"/>
      </w:pPr>
      <w:r>
        <w:t xml:space="preserve">3.2. Obrazac aplikacije predloga projekta </w:t>
      </w:r>
      <w:r>
        <w:rPr>
          <w:b w:val="0"/>
        </w:rPr>
        <w:t xml:space="preserve"> </w:t>
      </w:r>
    </w:p>
    <w:p w:rsidR="00C311BB" w:rsidRDefault="00120778">
      <w:pPr>
        <w:spacing w:after="205" w:line="268" w:lineRule="auto"/>
        <w:ind w:left="-5"/>
      </w:pPr>
      <w:r>
        <w:rPr>
          <w:color w:val="0D0D0D"/>
        </w:rPr>
        <w:t xml:space="preserve">Popunjavanje obrasca predloga projekta je deo obavezne dokumentacije. Ona sadrži informacije o aplikantu i partnerima, kao i podatke o sadržaju projekta/programa za koji se traži javno finansiranje. </w:t>
      </w:r>
    </w:p>
    <w:p w:rsidR="00C311BB" w:rsidRDefault="00120778">
      <w:pPr>
        <w:spacing w:after="224" w:line="268" w:lineRule="auto"/>
        <w:ind w:left="-5" w:right="248"/>
      </w:pPr>
      <w:r>
        <w:rPr>
          <w:color w:val="0D0D0D"/>
        </w:rPr>
        <w:t xml:space="preserve">Ukoliko u dostavljenom obrascu nedostaju podaci o sadržaju projekta, aplikacija se neće uzeti u obzir. </w:t>
      </w:r>
    </w:p>
    <w:p w:rsidR="00C311BB" w:rsidRDefault="00120778">
      <w:pPr>
        <w:spacing w:after="3" w:line="268" w:lineRule="auto"/>
        <w:ind w:left="-5"/>
      </w:pPr>
      <w:r>
        <w:rPr>
          <w:color w:val="0D0D0D"/>
        </w:rPr>
        <w:t xml:space="preserve">Obrazac se mora popuniti na računaru. Ukoliko je obrazac popunjen ručno, neće se uzeti u obzir. </w:t>
      </w:r>
    </w:p>
    <w:p w:rsidR="00C311BB" w:rsidRDefault="00120778">
      <w:pPr>
        <w:spacing w:after="288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3.3 Sadržaj obrasca Budžeta </w:t>
      </w:r>
      <w:r>
        <w:rPr>
          <w:sz w:val="24"/>
        </w:rPr>
        <w:t xml:space="preserve"> </w:t>
      </w:r>
    </w:p>
    <w:p w:rsidR="00C311BB" w:rsidRDefault="00120778">
      <w:pPr>
        <w:spacing w:after="10" w:line="259" w:lineRule="auto"/>
        <w:ind w:left="0" w:firstLine="0"/>
        <w:jc w:val="left"/>
      </w:pPr>
      <w:r>
        <w:t xml:space="preserve"> </w:t>
      </w:r>
    </w:p>
    <w:p w:rsidR="00C311BB" w:rsidRDefault="00057591">
      <w:pPr>
        <w:spacing w:line="311" w:lineRule="auto"/>
        <w:ind w:left="-5"/>
      </w:pPr>
      <w:r>
        <w:t>Popunjeni obrazac predloga B</w:t>
      </w:r>
      <w:r w:rsidR="00120778">
        <w:t xml:space="preserve">udžeta je deo obavezne dokumentacije. Dostavljeni budžet treba da sadrži informacije o svim direktnim i indirektnim troškovima predloženog projekta/programa za finansiranje. </w:t>
      </w:r>
    </w:p>
    <w:p w:rsidR="00C311BB" w:rsidRDefault="00120778">
      <w:pPr>
        <w:spacing w:after="5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Ukoliko obrazac budžeta nije u potpunosti popunjen, ili nije dostavljen u odgovarajućem obliku, aplikacija se neće uzeti u obzir.  </w:t>
      </w:r>
    </w:p>
    <w:p w:rsidR="00C311BB" w:rsidRDefault="00120778">
      <w:pPr>
        <w:spacing w:after="249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263"/>
        <w:ind w:left="-5"/>
      </w:pPr>
      <w:r>
        <w:t xml:space="preserve">Obrazac se mora popuniti na računaru. Ukoliko je obrazac popunjen ručno, neće se uzeti u obzir. </w:t>
      </w:r>
    </w:p>
    <w:p w:rsidR="00C311BB" w:rsidRDefault="00120778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EB7713" w:rsidRDefault="00EB771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EB7713" w:rsidRDefault="00EB771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EB7713" w:rsidRDefault="00EB7713">
      <w:pPr>
        <w:spacing w:after="0" w:line="259" w:lineRule="auto"/>
        <w:ind w:left="0" w:firstLine="0"/>
        <w:jc w:val="left"/>
        <w:rPr>
          <w:rFonts w:ascii="Book Antiqua" w:eastAsia="Book Antiqua" w:hAnsi="Book Antiqua" w:cs="Book Antiqua"/>
          <w:sz w:val="24"/>
        </w:rPr>
      </w:pPr>
    </w:p>
    <w:p w:rsidR="001E7FB3" w:rsidRDefault="001E7FB3">
      <w:pPr>
        <w:spacing w:after="0" w:line="259" w:lineRule="auto"/>
        <w:ind w:left="0" w:firstLine="0"/>
        <w:jc w:val="left"/>
      </w:pPr>
    </w:p>
    <w:p w:rsidR="00C311BB" w:rsidRDefault="00120778">
      <w:pPr>
        <w:spacing w:after="266" w:line="259" w:lineRule="auto"/>
        <w:ind w:left="-5"/>
        <w:jc w:val="left"/>
      </w:pPr>
      <w:r>
        <w:rPr>
          <w:b/>
          <w:sz w:val="24"/>
        </w:rPr>
        <w:lastRenderedPageBreak/>
        <w:t xml:space="preserve">3.4 Gde da dostavite aplikaciju?  </w:t>
      </w:r>
    </w:p>
    <w:p w:rsidR="00C311BB" w:rsidRDefault="00120778">
      <w:pPr>
        <w:spacing w:after="316" w:line="268" w:lineRule="auto"/>
        <w:ind w:left="-5"/>
      </w:pPr>
      <w:r>
        <w:rPr>
          <w:color w:val="0D0D0D"/>
        </w:rPr>
        <w:t>Obavezni obrasci i zahtevana dokumentacija moraju biti dostavljena u fizičkom obliku, štampani (jedan original) i elektronski (na CD</w:t>
      </w:r>
      <w:r w:rsidR="001E7FB3">
        <w:rPr>
          <w:color w:val="0D0D0D"/>
        </w:rPr>
        <w:t>/USB</w:t>
      </w:r>
      <w:r>
        <w:rPr>
          <w:color w:val="0D0D0D"/>
        </w:rPr>
        <w:t>-u). Obavezni obrasci moraju biti potpisani od strane ovlašćenog predstavnika i zapečaćeni sa službenim pečatom organizacije. Dokumentacija u elektronskom obliku (na CD</w:t>
      </w:r>
      <w:r w:rsidR="001E7FB3">
        <w:rPr>
          <w:color w:val="0D0D0D"/>
        </w:rPr>
        <w:t>/USB</w:t>
      </w:r>
      <w:r>
        <w:rPr>
          <w:color w:val="0D0D0D"/>
        </w:rPr>
        <w:t>-u) treba da ima isti sadržaj, dakle da bude identična sa štampanom verzijom. Štampana i elektronska dokumentacija na CD</w:t>
      </w:r>
      <w:r w:rsidR="001E7FB3">
        <w:rPr>
          <w:color w:val="0D0D0D"/>
        </w:rPr>
        <w:t>/USB</w:t>
      </w:r>
      <w:r>
        <w:rPr>
          <w:color w:val="0D0D0D"/>
        </w:rPr>
        <w:t xml:space="preserve">-u trebaju se staviti u zapečaćenoj koverti.  </w:t>
      </w:r>
    </w:p>
    <w:p w:rsidR="00CC6772" w:rsidRDefault="00120778" w:rsidP="00CC6772">
      <w:pPr>
        <w:spacing w:after="3" w:line="268" w:lineRule="auto"/>
        <w:ind w:left="-5"/>
      </w:pPr>
      <w:r>
        <w:rPr>
          <w:color w:val="0D0D0D"/>
        </w:rPr>
        <w:t>Originalnu aplikaciju treba poslati poštom ili</w:t>
      </w:r>
      <w:r w:rsidR="00530FF8">
        <w:rPr>
          <w:color w:val="0D0D0D"/>
        </w:rPr>
        <w:t xml:space="preserve"> </w:t>
      </w:r>
      <w:r w:rsidR="0061531E">
        <w:rPr>
          <w:color w:val="0D0D0D"/>
        </w:rPr>
        <w:t xml:space="preserve"> </w:t>
      </w:r>
      <w:r>
        <w:rPr>
          <w:color w:val="0D0D0D"/>
        </w:rPr>
        <w:t xml:space="preserve">lično (i dostaviti u odgovarajuću kancelariju). Na spoljnoj strani koverta treba navesti naziv javnog poziva, zajedno sa punim imenom i adresom podnosioca prijave i napomenu </w:t>
      </w:r>
      <w:r>
        <w:rPr>
          <w:i/>
          <w:color w:val="0D0D0D"/>
        </w:rPr>
        <w:t>"Ne otvarati pre sastanka Komisije za procenu”</w:t>
      </w:r>
      <w:r>
        <w:rPr>
          <w:color w:val="0D0D0D"/>
        </w:rPr>
        <w:t xml:space="preserve"> </w:t>
      </w:r>
    </w:p>
    <w:p w:rsidR="00CC6772" w:rsidRDefault="00CC6772" w:rsidP="00CC6772">
      <w:pPr>
        <w:spacing w:after="3" w:line="268" w:lineRule="auto"/>
        <w:ind w:left="-5"/>
        <w:rPr>
          <w:color w:val="0D0D0D"/>
        </w:rPr>
      </w:pPr>
    </w:p>
    <w:p w:rsidR="00C311BB" w:rsidRDefault="00120778" w:rsidP="00CC6772">
      <w:pPr>
        <w:spacing w:after="3" w:line="268" w:lineRule="auto"/>
        <w:ind w:left="-5"/>
      </w:pPr>
      <w:r>
        <w:rPr>
          <w:color w:val="0D0D0D"/>
        </w:rPr>
        <w:t xml:space="preserve">Aplikacije se moraju poslati na sledeću adresu:  </w:t>
      </w:r>
    </w:p>
    <w:p w:rsidR="00CC6772" w:rsidRDefault="00CC6772">
      <w:pPr>
        <w:spacing w:after="0" w:line="259" w:lineRule="auto"/>
        <w:ind w:left="0" w:firstLine="0"/>
        <w:jc w:val="left"/>
        <w:rPr>
          <w:i/>
          <w:sz w:val="24"/>
        </w:rPr>
      </w:pPr>
    </w:p>
    <w:p w:rsidR="00C311BB" w:rsidRDefault="00120778">
      <w:pPr>
        <w:spacing w:after="0" w:line="259" w:lineRule="auto"/>
        <w:ind w:left="0" w:firstLine="0"/>
        <w:jc w:val="left"/>
      </w:pPr>
      <w:r>
        <w:rPr>
          <w:i/>
          <w:sz w:val="24"/>
        </w:rPr>
        <w:t xml:space="preserve">Ministarstvu Pravde </w:t>
      </w:r>
    </w:p>
    <w:p w:rsidR="00CC6772" w:rsidRDefault="00CC6772">
      <w:pPr>
        <w:spacing w:after="7" w:line="249" w:lineRule="auto"/>
        <w:ind w:left="-5" w:right="5403"/>
        <w:jc w:val="left"/>
        <w:rPr>
          <w:sz w:val="24"/>
        </w:rPr>
      </w:pPr>
    </w:p>
    <w:p w:rsidR="001E7FB3" w:rsidRDefault="00120778">
      <w:pPr>
        <w:spacing w:after="7" w:line="249" w:lineRule="auto"/>
        <w:ind w:left="-5" w:right="5403"/>
        <w:jc w:val="left"/>
        <w:rPr>
          <w:sz w:val="24"/>
        </w:rPr>
      </w:pPr>
      <w:r>
        <w:rPr>
          <w:sz w:val="24"/>
        </w:rPr>
        <w:t xml:space="preserve">Zgrada Vlade, ulica Luan Haradinaj,  </w:t>
      </w:r>
    </w:p>
    <w:p w:rsidR="001E7FB3" w:rsidRDefault="00120778">
      <w:pPr>
        <w:spacing w:after="7" w:line="249" w:lineRule="auto"/>
        <w:ind w:left="-5" w:right="5403"/>
        <w:jc w:val="left"/>
        <w:rPr>
          <w:sz w:val="24"/>
        </w:rPr>
      </w:pPr>
      <w:r>
        <w:rPr>
          <w:sz w:val="24"/>
        </w:rPr>
        <w:t xml:space="preserve">bb. bivša Zgrada Rilindje 10000 Prishtina,  </w:t>
      </w:r>
    </w:p>
    <w:p w:rsidR="001E7FB3" w:rsidRDefault="001E7FB3">
      <w:pPr>
        <w:spacing w:after="7" w:line="249" w:lineRule="auto"/>
        <w:ind w:left="-5" w:right="5403"/>
        <w:jc w:val="left"/>
        <w:rPr>
          <w:sz w:val="24"/>
        </w:rPr>
      </w:pPr>
    </w:p>
    <w:p w:rsidR="001E7FB3" w:rsidRDefault="001E7FB3">
      <w:pPr>
        <w:spacing w:after="7" w:line="249" w:lineRule="auto"/>
        <w:ind w:left="-5" w:right="5403"/>
        <w:jc w:val="left"/>
        <w:rPr>
          <w:i/>
          <w:sz w:val="24"/>
        </w:rPr>
      </w:pPr>
      <w:r w:rsidRPr="001E7FB3">
        <w:rPr>
          <w:i/>
          <w:sz w:val="24"/>
        </w:rPr>
        <w:t>K</w:t>
      </w:r>
      <w:r w:rsidR="00120778" w:rsidRPr="001E7FB3">
        <w:rPr>
          <w:i/>
          <w:sz w:val="24"/>
        </w:rPr>
        <w:t>ancelari</w:t>
      </w:r>
      <w:r w:rsidR="000C03D3">
        <w:rPr>
          <w:i/>
          <w:sz w:val="24"/>
        </w:rPr>
        <w:t>ja Arhive</w:t>
      </w:r>
      <w:r w:rsidRPr="001E7FB3">
        <w:rPr>
          <w:i/>
          <w:sz w:val="24"/>
        </w:rPr>
        <w:t xml:space="preserve"> u MP, </w:t>
      </w:r>
    </w:p>
    <w:p w:rsidR="00C311BB" w:rsidRPr="001E7FB3" w:rsidRDefault="00120778">
      <w:pPr>
        <w:spacing w:after="7" w:line="249" w:lineRule="auto"/>
        <w:ind w:left="-5" w:right="5403"/>
        <w:jc w:val="left"/>
        <w:rPr>
          <w:i/>
        </w:rPr>
      </w:pPr>
      <w:r w:rsidRPr="001E7FB3">
        <w:rPr>
          <w:i/>
          <w:sz w:val="24"/>
        </w:rPr>
        <w:t xml:space="preserve"> </w:t>
      </w:r>
    </w:p>
    <w:p w:rsidR="00C311BB" w:rsidRDefault="00120778">
      <w:pPr>
        <w:spacing w:after="3" w:line="268" w:lineRule="auto"/>
        <w:ind w:left="-5"/>
      </w:pPr>
      <w:r>
        <w:rPr>
          <w:color w:val="0D0D0D"/>
        </w:rPr>
        <w:t>"Ne otv</w:t>
      </w:r>
      <w:r w:rsidR="001E7FB3">
        <w:rPr>
          <w:color w:val="0D0D0D"/>
        </w:rPr>
        <w:t>arati pre sastanka Komisije za P</w:t>
      </w:r>
      <w:r>
        <w:rPr>
          <w:color w:val="0D0D0D"/>
        </w:rPr>
        <w:t xml:space="preserve">rocenu” </w:t>
      </w:r>
    </w:p>
    <w:p w:rsidR="00C311BB" w:rsidRDefault="00120778">
      <w:pPr>
        <w:spacing w:after="237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3.5 Poslednji rok za dostavljanje aplikacija. 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C311BB" w:rsidRDefault="00120778">
      <w:pPr>
        <w:ind w:left="-5"/>
      </w:pPr>
      <w:r>
        <w:t>Rok poziva je 15 dana od datuma</w:t>
      </w:r>
      <w:r>
        <w:rPr>
          <w:rFonts w:ascii="Calibri" w:eastAsia="Calibri" w:hAnsi="Calibri" w:cs="Calibri"/>
        </w:rPr>
        <w:t xml:space="preserve"> </w:t>
      </w:r>
      <w:r w:rsidR="001E7FB3">
        <w:t xml:space="preserve">objavljivanja poziva  i traje do </w:t>
      </w:r>
      <w:r w:rsidR="001E7FB3" w:rsidRPr="001E7FB3">
        <w:rPr>
          <w:b/>
        </w:rPr>
        <w:t>26 novembra 2025</w:t>
      </w:r>
    </w:p>
    <w:p w:rsidR="00C311BB" w:rsidRDefault="00120778">
      <w:pPr>
        <w:spacing w:after="15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Aplikacija koja se podnosi u toku poziva takođe se prihvata ako prijemni pečat označava da je isporučen u pošti do kraja datuma poziva, kao poslednji rok za dostavljanje.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Ako se prijava lično dostavi kancelariji, aplikantu se izdaje potvrda da je aplikacija primljena unutar roka konkursa.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Sve aplikacije dostavljeni posle roka neće se razmatrati.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3.6 Kako kontaktirati ako imate pitanja? </w:t>
      </w:r>
      <w:r>
        <w:rPr>
          <w:sz w:val="24"/>
        </w:rPr>
        <w:t xml:space="preserve"> </w:t>
      </w:r>
    </w:p>
    <w:p w:rsidR="00C311BB" w:rsidRDefault="00120778">
      <w:pPr>
        <w:spacing w:after="3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spacing w:after="305" w:line="268" w:lineRule="auto"/>
        <w:ind w:left="-5"/>
      </w:pPr>
      <w:r>
        <w:rPr>
          <w:color w:val="0D0D0D"/>
        </w:rPr>
        <w:t>Sva pitanja vezana za poziv mogu se postaviti samo elektronskim putem slanjem zahteva na dole navedenu adresu</w:t>
      </w:r>
      <w:r>
        <w:rPr>
          <w:i/>
          <w:color w:val="0D0D0D"/>
        </w:rPr>
        <w:t xml:space="preserve">: </w:t>
      </w:r>
      <w:r w:rsidR="001E7FB3" w:rsidRPr="001E7FB3">
        <w:rPr>
          <w:i/>
          <w:color w:val="0000FF"/>
          <w:u w:val="single" w:color="0000FF"/>
        </w:rPr>
        <w:t>ilir.mazreku</w:t>
      </w:r>
      <w:r w:rsidRPr="001E7FB3">
        <w:rPr>
          <w:i/>
          <w:color w:val="0000FF"/>
          <w:u w:val="single" w:color="0000FF"/>
        </w:rPr>
        <w:t>@rks-gov.net</w:t>
      </w:r>
      <w:r>
        <w:rPr>
          <w:i/>
          <w:color w:val="0D0D0D"/>
        </w:rPr>
        <w:t xml:space="preserve">, </w:t>
      </w:r>
      <w:r w:rsidR="001E7FB3">
        <w:rPr>
          <w:color w:val="0D0D0D"/>
        </w:rPr>
        <w:t xml:space="preserve">najkasnije </w:t>
      </w:r>
      <w:r w:rsidR="001E7FB3" w:rsidRPr="001E7FB3">
        <w:rPr>
          <w:i/>
          <w:color w:val="0D0D0D"/>
        </w:rPr>
        <w:t>10</w:t>
      </w:r>
      <w:r w:rsidRPr="001E7FB3">
        <w:rPr>
          <w:i/>
          <w:color w:val="0D0D0D"/>
        </w:rPr>
        <w:t xml:space="preserve"> dana</w:t>
      </w:r>
      <w:r>
        <w:rPr>
          <w:color w:val="0D0D0D"/>
        </w:rPr>
        <w:t xml:space="preserve"> pre isteka poziva.  </w:t>
      </w:r>
    </w:p>
    <w:p w:rsidR="00C311BB" w:rsidRDefault="00120778">
      <w:pPr>
        <w:spacing w:after="291" w:line="268" w:lineRule="auto"/>
        <w:ind w:left="-5"/>
        <w:rPr>
          <w:color w:val="0D0D0D"/>
        </w:rPr>
      </w:pPr>
      <w:r>
        <w:rPr>
          <w:color w:val="0D0D0D"/>
        </w:rPr>
        <w:t xml:space="preserve">Odgovori na konkretne zahteve biće poslati direktno na adresu postavljenih pitanja, a najčešći odgovori će biti objavljeni na sledećoj veb stranici: </w:t>
      </w:r>
      <w:hyperlink r:id="rId9">
        <w:r>
          <w:rPr>
            <w:rFonts w:ascii="Sylfaen" w:eastAsia="Sylfaen" w:hAnsi="Sylfaen" w:cs="Sylfaen"/>
            <w:color w:val="0000FF"/>
            <w:u w:val="single" w:color="0000FF"/>
          </w:rPr>
          <w:t>https://md.rks</w:t>
        </w:r>
      </w:hyperlink>
      <w:hyperlink r:id="rId10">
        <w:r>
          <w:rPr>
            <w:rFonts w:ascii="Sylfaen" w:eastAsia="Sylfaen" w:hAnsi="Sylfaen" w:cs="Sylfaen"/>
            <w:color w:val="0000FF"/>
            <w:u w:val="single" w:color="0000FF"/>
          </w:rPr>
          <w:t>-</w:t>
        </w:r>
      </w:hyperlink>
      <w:hyperlink r:id="rId11">
        <w:r>
          <w:rPr>
            <w:rFonts w:ascii="Sylfaen" w:eastAsia="Sylfaen" w:hAnsi="Sylfaen" w:cs="Sylfaen"/>
            <w:color w:val="0000FF"/>
            <w:u w:val="single" w:color="0000FF"/>
          </w:rPr>
          <w:t>gov.net</w:t>
        </w:r>
      </w:hyperlink>
      <w:hyperlink r:id="rId12">
        <w:r>
          <w:rPr>
            <w:color w:val="0D0D0D"/>
          </w:rPr>
          <w:t>,</w:t>
        </w:r>
      </w:hyperlink>
      <w:r>
        <w:rPr>
          <w:color w:val="0D0D0D"/>
        </w:rPr>
        <w:t xml:space="preserve"> ali ne kasnije od </w:t>
      </w:r>
      <w:r w:rsidR="001E7FB3">
        <w:rPr>
          <w:color w:val="0D0D0D"/>
        </w:rPr>
        <w:t>5</w:t>
      </w:r>
      <w:r>
        <w:rPr>
          <w:color w:val="0D0D0D"/>
        </w:rPr>
        <w:t xml:space="preserve"> dana pre isteka poziva.  </w:t>
      </w:r>
    </w:p>
    <w:p w:rsidR="00C311BB" w:rsidRDefault="00C311BB">
      <w:pPr>
        <w:spacing w:after="0" w:line="259" w:lineRule="auto"/>
        <w:ind w:left="0" w:firstLine="0"/>
        <w:jc w:val="left"/>
      </w:pPr>
    </w:p>
    <w:p w:rsidR="0081395B" w:rsidRDefault="0081395B">
      <w:pPr>
        <w:spacing w:after="0" w:line="259" w:lineRule="auto"/>
        <w:ind w:left="0" w:firstLine="0"/>
        <w:jc w:val="left"/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EB7713" w:rsidRDefault="00EB7713">
      <w:pPr>
        <w:spacing w:after="0" w:line="259" w:lineRule="auto"/>
        <w:ind w:left="0" w:firstLine="0"/>
        <w:jc w:val="left"/>
      </w:pPr>
    </w:p>
    <w:p w:rsidR="00C311BB" w:rsidRDefault="00120778">
      <w:pPr>
        <w:numPr>
          <w:ilvl w:val="0"/>
          <w:numId w:val="11"/>
        </w:numPr>
        <w:spacing w:after="0" w:line="259" w:lineRule="auto"/>
        <w:ind w:hanging="225"/>
        <w:jc w:val="left"/>
      </w:pPr>
      <w:r>
        <w:rPr>
          <w:b/>
        </w:rPr>
        <w:t xml:space="preserve">PROCENA I DODELA SREDSTAVA </w:t>
      </w:r>
    </w:p>
    <w:p w:rsidR="00C311BB" w:rsidRDefault="00120778">
      <w:pPr>
        <w:spacing w:after="41" w:line="259" w:lineRule="auto"/>
        <w:ind w:left="0" w:firstLine="0"/>
        <w:jc w:val="left"/>
      </w:pPr>
      <w:r>
        <w:rPr>
          <w:b/>
        </w:rP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4.1 Primljene aplikacije će proći kroz dole navedenu proceduru </w:t>
      </w:r>
      <w:r>
        <w:rPr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Ministarstvo Pravde (MP) će osnivati </w:t>
      </w:r>
      <w:r w:rsidR="0081395B">
        <w:t>Komisiju za P</w:t>
      </w:r>
      <w:r>
        <w:t xml:space="preserve">rocenu koja se sastoji od 5 članova zvaničnika institucija i drugih spoljnih stručnjaka, koji imaju zadatak da procene aplikacije dali ispunjavaju formalne uslove javnog poziva.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Nakon provere svih primljenih aplikacija, komisija će pripremiti spisak svih kvalifikovanih kandidata koji ispunjavaju uslove za procenu sadržaja njihovih projekata, i listu kandidata koji ne ispunjavaju navedene uslove konkurentnosti.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DA5DE1">
      <w:pPr>
        <w:ind w:left="-5"/>
      </w:pPr>
      <w:r>
        <w:t>Davalac</w:t>
      </w:r>
      <w:r w:rsidR="00120778">
        <w:t xml:space="preserve"> finansijske podrške (MP) će pismeno obavestiti sve aplikante koji ne ispunjavaju uslove i razloge odbijanja njihovih aplikacija.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U drugoj fazi biće procena sadržaja aplikacija od strane Komisija za procenu sastavljena od 5 članova. Svaka prihvaćena aplikacija biće procenjena na osnovu obrasca za ocenu.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 w:rsidP="00206ED2">
      <w:pPr>
        <w:ind w:left="-5"/>
      </w:pPr>
      <w:r>
        <w:t>Na osnovu procene aplikacija koje su ispunile predviđene uslove poziva, Komisija će izraditi privremenu listu odabranih projekata/programa, prema bodovima koje su dobili u procesu procene.</w:t>
      </w:r>
      <w:r w:rsidR="0081395B">
        <w:t xml:space="preserve"> </w:t>
      </w:r>
      <w:r>
        <w:t xml:space="preserve">Ukupan iznos troškova projekta navedenih u privremenom spisku neće preći ukupni iznos koji se daje za finansiranje putem javnog poziva. </w:t>
      </w:r>
    </w:p>
    <w:p w:rsidR="00206ED2" w:rsidRDefault="00206ED2" w:rsidP="00206ED2">
      <w:pPr>
        <w:ind w:left="-5"/>
      </w:pPr>
    </w:p>
    <w:p w:rsidR="00C311BB" w:rsidRDefault="00120778">
      <w:pPr>
        <w:ind w:left="-5"/>
      </w:pPr>
      <w:r>
        <w:t xml:space="preserve">Pored privremene liste, na osnovu bodova koji su postignuti tokom procene, Komisija će takođe sastaviti rezervnu listu projekata / programa. 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311BB" w:rsidRDefault="00120778">
      <w:pPr>
        <w:spacing w:after="0" w:line="259" w:lineRule="auto"/>
        <w:ind w:left="-5"/>
        <w:jc w:val="left"/>
      </w:pPr>
      <w:r>
        <w:rPr>
          <w:b/>
          <w:sz w:val="24"/>
        </w:rPr>
        <w:t xml:space="preserve">4.2. Dodatna dokumentacija i ugovaranje. </w:t>
      </w:r>
      <w:r>
        <w:rPr>
          <w:sz w:val="24"/>
        </w:rPr>
        <w:t xml:space="preserve"> </w:t>
      </w:r>
    </w:p>
    <w:p w:rsidR="00C311BB" w:rsidRDefault="00120778">
      <w:pPr>
        <w:spacing w:after="2" w:line="259" w:lineRule="auto"/>
        <w:ind w:left="721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Da bi se izbegli nepotrebni dodatni troškovi prilikom konkurisanja, Ministarstvo Pravde zahtevaće dopunsku dokumentaciju samo od onih aplikanata koji su, na osnovu procesa procene aplikacija, ušli u rivremenu listu projekata / programa izabranih za finansiranje.  </w:t>
      </w:r>
    </w:p>
    <w:p w:rsidR="00C311BB" w:rsidRDefault="00120778">
      <w:pPr>
        <w:spacing w:after="11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Pre konačnog potpisivanja ugovora i na osnovu procene Komisije, Ministarstvo Pravde može zatražiti pregled budžeta za procenjene troškovi koji odgovaraju tekućim troškovima u vezi sa predloženim aktivnostima.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Nakon prijema dodatne dokumentacije, komisija za ocenjivanje </w:t>
      </w:r>
      <w:r w:rsidR="00DA5DE1">
        <w:t>će</w:t>
      </w:r>
      <w:r>
        <w:t xml:space="preserve"> je verifikovati i kontrolisati. Ako podnosilac zahteva ne dostavi potrebnu dodatnu dokumentaciju u roku koji je odredila Komisija za ocenu, prijava </w:t>
      </w:r>
      <w:r w:rsidR="00F934E8">
        <w:t>će</w:t>
      </w:r>
      <w:r>
        <w:t xml:space="preserve"> biti odbijena.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 w:rsidP="00272956">
      <w:pPr>
        <w:ind w:left="-5"/>
      </w:pPr>
      <w:r>
        <w:t>Ako se nakon provere pratećih dokumenata odluči da neki od</w:t>
      </w:r>
      <w:r w:rsidR="000363D9">
        <w:t xml:space="preserve"> </w:t>
      </w:r>
      <w:r>
        <w:t xml:space="preserve">aplikanata ne ispunjavaju uslove za javni poziv, neće se uzeti u obzir za potpisivanja ugovora.  U takvim slučajevima, projekti sa rezervne liste će se aktivirati ako, nakon provere pratećih dokumenata i nakon što je institucija utvrdila da ima dovoljno sredstava za ugovaranje drugih projekata.  </w:t>
      </w:r>
    </w:p>
    <w:p w:rsidR="00C311BB" w:rsidRDefault="00120778">
      <w:pPr>
        <w:spacing w:after="0" w:line="259" w:lineRule="auto"/>
        <w:ind w:left="0" w:firstLine="0"/>
        <w:jc w:val="left"/>
      </w:pPr>
      <w:r>
        <w:t xml:space="preserve"> </w:t>
      </w:r>
    </w:p>
    <w:p w:rsidR="00C311BB" w:rsidRDefault="00120778">
      <w:pPr>
        <w:ind w:left="-5"/>
      </w:pPr>
      <w:r>
        <w:t xml:space="preserve">Nakon provere dostavljene dokumentacije, Komisija će predložiti konačnu listu projekata/programa izabranih za finansiranje.  </w:t>
      </w:r>
    </w:p>
    <w:p w:rsidR="00C311BB" w:rsidRDefault="00120778">
      <w:pPr>
        <w:spacing w:line="259" w:lineRule="auto"/>
        <w:ind w:left="0" w:firstLine="0"/>
        <w:jc w:val="left"/>
      </w:pPr>
      <w:r>
        <w:t xml:space="preserve"> </w:t>
      </w:r>
    </w:p>
    <w:p w:rsidR="00EB7713" w:rsidRDefault="00272956" w:rsidP="00EB7713">
      <w:pPr>
        <w:ind w:left="-5"/>
      </w:pPr>
      <w:r>
        <w:t>S</w:t>
      </w:r>
      <w:r w:rsidR="00120778">
        <w:t xml:space="preserve">vi aplikanti koji uđu u procesu procene biće obavešteni vezano sa odlukom o dodeli projekata / programa u okviru ovog poziva.  </w:t>
      </w:r>
    </w:p>
    <w:p w:rsidR="000363D9" w:rsidRDefault="000363D9" w:rsidP="00EB7713">
      <w:pPr>
        <w:ind w:left="-5"/>
      </w:pPr>
    </w:p>
    <w:p w:rsidR="000363D9" w:rsidRDefault="000363D9" w:rsidP="00EB7713">
      <w:pPr>
        <w:ind w:left="-5"/>
      </w:pPr>
    </w:p>
    <w:p w:rsidR="000363D9" w:rsidRDefault="000363D9" w:rsidP="00EB7713">
      <w:pPr>
        <w:ind w:left="-5"/>
      </w:pPr>
    </w:p>
    <w:p w:rsidR="00C311BB" w:rsidRDefault="00120778" w:rsidP="00EB7713">
      <w:pPr>
        <w:ind w:left="-5"/>
        <w:rPr>
          <w:b/>
          <w:color w:val="0D0D0D"/>
        </w:rPr>
      </w:pPr>
      <w:r>
        <w:rPr>
          <w:b/>
          <w:color w:val="0D0D0D"/>
        </w:rPr>
        <w:t xml:space="preserve">5. INDIKATIVNI KALENDAR REALIZACIJE POZIVA </w:t>
      </w:r>
    </w:p>
    <w:p w:rsidR="00EB7713" w:rsidRDefault="00EB7713" w:rsidP="00EB7713">
      <w:pPr>
        <w:ind w:left="-5"/>
      </w:pPr>
    </w:p>
    <w:p w:rsidR="00C311BB" w:rsidRDefault="00120778">
      <w:pPr>
        <w:spacing w:after="279" w:line="265" w:lineRule="auto"/>
        <w:ind w:left="-5"/>
        <w:jc w:val="left"/>
      </w:pPr>
      <w:r>
        <w:rPr>
          <w:i/>
          <w:color w:val="0D0D0D"/>
        </w:rPr>
        <w:t xml:space="preserve">Faze procedure pozivanja; 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 xml:space="preserve">Poslednji rok za apliciranje </w:t>
      </w:r>
      <w:r w:rsidR="00272956">
        <w:rPr>
          <w:color w:val="0D0D0D"/>
        </w:rPr>
        <w:t>26.11</w:t>
      </w:r>
      <w:r>
        <w:rPr>
          <w:color w:val="0D0D0D"/>
        </w:rPr>
        <w:t>.202</w:t>
      </w:r>
      <w:r w:rsidR="00272956">
        <w:rPr>
          <w:color w:val="0D0D0D"/>
        </w:rPr>
        <w:t>5</w:t>
      </w:r>
      <w:r>
        <w:rPr>
          <w:color w:val="0D0D0D"/>
        </w:rPr>
        <w:t xml:space="preserve">; 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 sla</w:t>
      </w:r>
      <w:r w:rsidR="00EB7713">
        <w:rPr>
          <w:color w:val="0D0D0D"/>
        </w:rPr>
        <w:t>nje pitanja u vezi sa pozivom 17.11</w:t>
      </w:r>
      <w:r>
        <w:rPr>
          <w:color w:val="0D0D0D"/>
        </w:rPr>
        <w:t>.202</w:t>
      </w:r>
      <w:r w:rsidR="00EB7713">
        <w:rPr>
          <w:color w:val="0D0D0D"/>
        </w:rPr>
        <w:t>5</w:t>
      </w:r>
      <w:r>
        <w:rPr>
          <w:color w:val="0D0D0D"/>
        </w:rPr>
        <w:t xml:space="preserve">;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 slanje odgovora na pi</w:t>
      </w:r>
      <w:r w:rsidR="00272956">
        <w:rPr>
          <w:color w:val="0D0D0D"/>
        </w:rPr>
        <w:t>tanja koja se odnose na poziv 21</w:t>
      </w:r>
      <w:r>
        <w:rPr>
          <w:color w:val="0D0D0D"/>
        </w:rPr>
        <w:t>.</w:t>
      </w:r>
      <w:r w:rsidR="00272956">
        <w:rPr>
          <w:color w:val="0D0D0D"/>
        </w:rPr>
        <w:t>11</w:t>
      </w:r>
      <w:r>
        <w:rPr>
          <w:color w:val="0D0D0D"/>
        </w:rPr>
        <w:t>.202</w:t>
      </w:r>
      <w:r w:rsidR="00272956">
        <w:rPr>
          <w:color w:val="0D0D0D"/>
        </w:rPr>
        <w:t>5</w:t>
      </w:r>
      <w:r>
        <w:rPr>
          <w:color w:val="0D0D0D"/>
        </w:rPr>
        <w:t xml:space="preserve">; 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 procenu aplikacija na suštinski način</w:t>
      </w:r>
      <w:r>
        <w:rPr>
          <w:i/>
          <w:color w:val="0D0D0D"/>
        </w:rPr>
        <w:t>;</w:t>
      </w:r>
      <w:r>
        <w:rPr>
          <w:sz w:val="24"/>
        </w:rPr>
        <w:t xml:space="preserve"> nespecificirano </w:t>
      </w: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zahteva za dostavljanje dodatnih dokumenata;</w:t>
      </w:r>
      <w:r>
        <w:rPr>
          <w:sz w:val="24"/>
        </w:rPr>
        <w:t xml:space="preserve"> nespecificirano</w:t>
      </w: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 dostavljanje zatražene dokumentacije;</w:t>
      </w:r>
      <w:r>
        <w:rPr>
          <w:sz w:val="24"/>
        </w:rPr>
        <w:t xml:space="preserve"> nespecificirano</w:t>
      </w: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Poslednji rok za objavljivanje odluke o dodeli sredstava i obaveštavanje aplikanata</w:t>
      </w:r>
      <w:r>
        <w:rPr>
          <w:i/>
          <w:color w:val="0D0D0D"/>
        </w:rPr>
        <w:t>;</w:t>
      </w:r>
      <w:r>
        <w:rPr>
          <w:sz w:val="24"/>
        </w:rPr>
        <w:t xml:space="preserve"> nespecificirano</w:t>
      </w:r>
      <w:r>
        <w:rPr>
          <w:color w:val="0D0D0D"/>
        </w:rPr>
        <w:t xml:space="preserve"> </w:t>
      </w:r>
    </w:p>
    <w:p w:rsidR="00C311BB" w:rsidRDefault="00120778">
      <w:pPr>
        <w:numPr>
          <w:ilvl w:val="0"/>
          <w:numId w:val="12"/>
        </w:numPr>
        <w:spacing w:after="3" w:line="268" w:lineRule="auto"/>
        <w:ind w:hanging="721"/>
      </w:pPr>
      <w:r>
        <w:rPr>
          <w:color w:val="0D0D0D"/>
        </w:rPr>
        <w:t>Rok za ugovaranje;</w:t>
      </w:r>
      <w:r>
        <w:rPr>
          <w:sz w:val="24"/>
        </w:rPr>
        <w:t xml:space="preserve"> nespecificirano</w:t>
      </w:r>
      <w:r>
        <w:rPr>
          <w:color w:val="0D0D0D"/>
        </w:rPr>
        <w:t xml:space="preserve"> </w:t>
      </w:r>
    </w:p>
    <w:p w:rsidR="00C311BB" w:rsidRDefault="00120778">
      <w:pPr>
        <w:spacing w:after="2" w:line="259" w:lineRule="auto"/>
        <w:ind w:left="0" w:firstLine="0"/>
        <w:jc w:val="left"/>
      </w:pPr>
      <w:r>
        <w:rPr>
          <w:color w:val="0D0D0D"/>
        </w:rPr>
        <w:t xml:space="preserve"> </w:t>
      </w:r>
    </w:p>
    <w:p w:rsidR="00C311BB" w:rsidRDefault="00272956">
      <w:pPr>
        <w:spacing w:after="3" w:line="268" w:lineRule="auto"/>
        <w:ind w:left="-5"/>
      </w:pPr>
      <w:r>
        <w:rPr>
          <w:color w:val="0D0D0D"/>
        </w:rPr>
        <w:t>MP</w:t>
      </w:r>
      <w:r w:rsidR="00120778">
        <w:rPr>
          <w:color w:val="0D0D0D"/>
        </w:rPr>
        <w:t xml:space="preserve"> ima pravo da ažurira indikativni kalendar. Treba da znate da svaka promena u indikativnom kalendaru biće objavljena na sledećoj internet stranici: </w:t>
      </w:r>
      <w:hyperlink r:id="rId13">
        <w:r w:rsidR="00120778">
          <w:rPr>
            <w:rFonts w:ascii="Sylfaen" w:eastAsia="Sylfaen" w:hAnsi="Sylfaen" w:cs="Sylfaen"/>
            <w:color w:val="0000FF"/>
            <w:u w:val="single" w:color="0000FF"/>
          </w:rPr>
          <w:t>https://md.rks</w:t>
        </w:r>
      </w:hyperlink>
      <w:hyperlink r:id="rId14">
        <w:r w:rsidR="00120778">
          <w:rPr>
            <w:rFonts w:ascii="Sylfaen" w:eastAsia="Sylfaen" w:hAnsi="Sylfaen" w:cs="Sylfaen"/>
            <w:color w:val="0000FF"/>
            <w:u w:val="single" w:color="0000FF"/>
          </w:rPr>
          <w:t>-</w:t>
        </w:r>
      </w:hyperlink>
      <w:hyperlink r:id="rId15">
        <w:r w:rsidR="00120778">
          <w:rPr>
            <w:rFonts w:ascii="Sylfaen" w:eastAsia="Sylfaen" w:hAnsi="Sylfaen" w:cs="Sylfaen"/>
            <w:color w:val="0000FF"/>
            <w:u w:val="single" w:color="0000FF"/>
          </w:rPr>
          <w:t>gov.net</w:t>
        </w:r>
      </w:hyperlink>
      <w:hyperlink r:id="rId16">
        <w:r w:rsidR="00120778">
          <w:rPr>
            <w:rFonts w:ascii="Sylfaen" w:eastAsia="Sylfaen" w:hAnsi="Sylfaen" w:cs="Sylfaen"/>
          </w:rPr>
          <w:t xml:space="preserve"> </w:t>
        </w:r>
      </w:hyperlink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0" w:line="259" w:lineRule="auto"/>
        <w:ind w:left="0" w:firstLine="0"/>
        <w:jc w:val="left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C311BB" w:rsidRDefault="00120778">
      <w:pPr>
        <w:spacing w:after="290" w:line="259" w:lineRule="auto"/>
        <w:ind w:left="-5"/>
        <w:jc w:val="left"/>
      </w:pPr>
      <w:r>
        <w:rPr>
          <w:b/>
          <w:color w:val="0D0D0D"/>
        </w:rPr>
        <w:t xml:space="preserve">6. SPISAK DOKUMENATA JAVNOG POZIVA </w:t>
      </w:r>
    </w:p>
    <w:p w:rsidR="00C311BB" w:rsidRDefault="00120778">
      <w:pPr>
        <w:spacing w:after="279" w:line="265" w:lineRule="auto"/>
        <w:ind w:left="-5"/>
        <w:jc w:val="left"/>
      </w:pPr>
      <w:r>
        <w:rPr>
          <w:i/>
          <w:color w:val="0D0D0D"/>
        </w:rPr>
        <w:t xml:space="preserve">Obrasci; 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Prijavni obrazac projekta / programa (Word format);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Obrazac Predloga za budžet (Excel format);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Obrazac Izjave za </w:t>
      </w:r>
      <w:r w:rsidR="00715D2E">
        <w:t>izostanak</w:t>
      </w:r>
      <w:r>
        <w:t xml:space="preserve"> dvostruko finansiranje (Word format);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Obrazac Deklaracije finansiranih projekata (Word format); </w:t>
      </w:r>
    </w:p>
    <w:p w:rsidR="00272956" w:rsidRDefault="00120778">
      <w:pPr>
        <w:numPr>
          <w:ilvl w:val="0"/>
          <w:numId w:val="13"/>
        </w:numPr>
        <w:ind w:hanging="721"/>
      </w:pPr>
      <w:r>
        <w:t xml:space="preserve">Obrazac deklaracija partnerstva (Word format);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Obrazac za Procenu aplikacije (Word format); </w:t>
      </w:r>
    </w:p>
    <w:p w:rsidR="00C311BB" w:rsidRDefault="00120778">
      <w:pPr>
        <w:numPr>
          <w:ilvl w:val="0"/>
          <w:numId w:val="13"/>
        </w:numPr>
        <w:ind w:hanging="721"/>
      </w:pPr>
      <w:r>
        <w:t xml:space="preserve">Obrazac finansijskog izveštaja (Excel format); </w:t>
      </w:r>
    </w:p>
    <w:sectPr w:rsidR="00C311BB" w:rsidSect="00EB7713">
      <w:pgSz w:w="12240" w:h="16339"/>
      <w:pgMar w:top="1276" w:right="1204" w:bottom="984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86" w:rsidRDefault="00F93E86" w:rsidP="00EE66F9">
      <w:pPr>
        <w:spacing w:after="0" w:line="240" w:lineRule="auto"/>
      </w:pPr>
      <w:r>
        <w:separator/>
      </w:r>
    </w:p>
  </w:endnote>
  <w:endnote w:type="continuationSeparator" w:id="0">
    <w:p w:rsidR="00F93E86" w:rsidRDefault="00F93E86" w:rsidP="00EE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86" w:rsidRDefault="00F93E86" w:rsidP="00EE66F9">
      <w:pPr>
        <w:spacing w:after="0" w:line="240" w:lineRule="auto"/>
      </w:pPr>
      <w:r>
        <w:separator/>
      </w:r>
    </w:p>
  </w:footnote>
  <w:footnote w:type="continuationSeparator" w:id="0">
    <w:p w:rsidR="00F93E86" w:rsidRDefault="00F93E86" w:rsidP="00EE6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7D7"/>
    <w:multiLevelType w:val="hybridMultilevel"/>
    <w:tmpl w:val="FF4249F4"/>
    <w:lvl w:ilvl="0" w:tplc="733E871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8CEBE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831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2D5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ED4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8242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E9E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86C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080B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D4809"/>
    <w:multiLevelType w:val="hybridMultilevel"/>
    <w:tmpl w:val="950A1C3E"/>
    <w:lvl w:ilvl="0" w:tplc="D8EEC6B4">
      <w:start w:val="4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A7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CD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2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5A4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E1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6D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89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A10FBC"/>
    <w:multiLevelType w:val="hybridMultilevel"/>
    <w:tmpl w:val="B236449E"/>
    <w:lvl w:ilvl="0" w:tplc="D2A0052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648D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61F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E0A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C9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E53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BC3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85E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6B7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41033"/>
    <w:multiLevelType w:val="hybridMultilevel"/>
    <w:tmpl w:val="2E305008"/>
    <w:lvl w:ilvl="0" w:tplc="A23207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32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4C31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498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442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631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EE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45E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0FB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F505E6"/>
    <w:multiLevelType w:val="hybridMultilevel"/>
    <w:tmpl w:val="DC88F2E4"/>
    <w:lvl w:ilvl="0" w:tplc="B3B812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565FA0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46044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6E41C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E11AA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62604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A3FD2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4F32C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6625AA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C24B3"/>
    <w:multiLevelType w:val="multilevel"/>
    <w:tmpl w:val="1DFE05C0"/>
    <w:lvl w:ilvl="0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56D33"/>
    <w:multiLevelType w:val="hybridMultilevel"/>
    <w:tmpl w:val="2842EC88"/>
    <w:lvl w:ilvl="0" w:tplc="80EA04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32CD"/>
    <w:multiLevelType w:val="hybridMultilevel"/>
    <w:tmpl w:val="569275D8"/>
    <w:lvl w:ilvl="0" w:tplc="5FC0D932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F2DD24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41C7C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001AE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8DA30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46448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89BB0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EE962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E122A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C1CE5"/>
    <w:multiLevelType w:val="hybridMultilevel"/>
    <w:tmpl w:val="6F9EA084"/>
    <w:lvl w:ilvl="0" w:tplc="7ADCD7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CBA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4B3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0F3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86D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8FC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223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076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8C2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362E8E"/>
    <w:multiLevelType w:val="hybridMultilevel"/>
    <w:tmpl w:val="66DC98BC"/>
    <w:lvl w:ilvl="0" w:tplc="80EA04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257F7"/>
    <w:multiLevelType w:val="hybridMultilevel"/>
    <w:tmpl w:val="EEC49F90"/>
    <w:lvl w:ilvl="0" w:tplc="D6CAAC8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0D1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6F9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A5C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8AE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CDD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4E3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031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87C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951B36"/>
    <w:multiLevelType w:val="hybridMultilevel"/>
    <w:tmpl w:val="C8308512"/>
    <w:lvl w:ilvl="0" w:tplc="80EA04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643C5"/>
    <w:multiLevelType w:val="hybridMultilevel"/>
    <w:tmpl w:val="56B02508"/>
    <w:lvl w:ilvl="0" w:tplc="80EA040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97DFA"/>
    <w:multiLevelType w:val="hybridMultilevel"/>
    <w:tmpl w:val="6A5CE55C"/>
    <w:lvl w:ilvl="0" w:tplc="BB5C61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0CA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BA94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AFC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2D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210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077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28C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4F5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1182F"/>
    <w:multiLevelType w:val="hybridMultilevel"/>
    <w:tmpl w:val="FB7456F4"/>
    <w:lvl w:ilvl="0" w:tplc="6A9C40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201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C1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615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04F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4EF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2DD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2E27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856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4F20AB"/>
    <w:multiLevelType w:val="hybridMultilevel"/>
    <w:tmpl w:val="05D2A888"/>
    <w:lvl w:ilvl="0" w:tplc="80EA04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F9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A60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823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278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C2D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C9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823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A5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627389"/>
    <w:multiLevelType w:val="hybridMultilevel"/>
    <w:tmpl w:val="5F66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075D1"/>
    <w:multiLevelType w:val="hybridMultilevel"/>
    <w:tmpl w:val="58CE4360"/>
    <w:lvl w:ilvl="0" w:tplc="506E1EB6">
      <w:start w:val="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EB6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9A6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2B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87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A7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05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221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3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6"/>
  </w:num>
  <w:num w:numId="15">
    <w:abstractNumId w:val="16"/>
  </w:num>
  <w:num w:numId="16">
    <w:abstractNumId w:val="9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BB"/>
    <w:rsid w:val="000363D9"/>
    <w:rsid w:val="000569C0"/>
    <w:rsid w:val="00057591"/>
    <w:rsid w:val="00080FD1"/>
    <w:rsid w:val="000C03D3"/>
    <w:rsid w:val="00120778"/>
    <w:rsid w:val="00180F1A"/>
    <w:rsid w:val="0019117A"/>
    <w:rsid w:val="001E7FB3"/>
    <w:rsid w:val="00206ED2"/>
    <w:rsid w:val="00272956"/>
    <w:rsid w:val="002B1202"/>
    <w:rsid w:val="002F6212"/>
    <w:rsid w:val="00332B4A"/>
    <w:rsid w:val="00367E9D"/>
    <w:rsid w:val="003E527E"/>
    <w:rsid w:val="00466D4C"/>
    <w:rsid w:val="004677FF"/>
    <w:rsid w:val="004E20FB"/>
    <w:rsid w:val="00530FF8"/>
    <w:rsid w:val="005E66C4"/>
    <w:rsid w:val="005F590D"/>
    <w:rsid w:val="0061531E"/>
    <w:rsid w:val="006435D8"/>
    <w:rsid w:val="00653E14"/>
    <w:rsid w:val="00715D2E"/>
    <w:rsid w:val="007431B0"/>
    <w:rsid w:val="0080281B"/>
    <w:rsid w:val="0081395B"/>
    <w:rsid w:val="008170E3"/>
    <w:rsid w:val="00860B0C"/>
    <w:rsid w:val="0088302B"/>
    <w:rsid w:val="008B1ED8"/>
    <w:rsid w:val="00942791"/>
    <w:rsid w:val="00AA5E45"/>
    <w:rsid w:val="00C22AF7"/>
    <w:rsid w:val="00C311BB"/>
    <w:rsid w:val="00CC6772"/>
    <w:rsid w:val="00D33B23"/>
    <w:rsid w:val="00D86FA9"/>
    <w:rsid w:val="00DA5DE1"/>
    <w:rsid w:val="00EB7713"/>
    <w:rsid w:val="00EE66F9"/>
    <w:rsid w:val="00F934E8"/>
    <w:rsid w:val="00F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B1B56-94DF-4530-960E-75A5F6F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304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b/>
      <w:color w:val="0D0D0D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"/>
      <w:ind w:left="10" w:hanging="10"/>
      <w:outlineLvl w:val="2"/>
    </w:pPr>
    <w:rPr>
      <w:rFonts w:ascii="Times New Roman" w:eastAsia="Times New Roman" w:hAnsi="Times New Roman" w:cs="Times New Roman"/>
      <w:b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D0D0D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D0D0D"/>
      <w:sz w:val="24"/>
    </w:rPr>
  </w:style>
  <w:style w:type="paragraph" w:styleId="ListParagraph">
    <w:name w:val="List Paragraph"/>
    <w:basedOn w:val="Normal"/>
    <w:uiPriority w:val="34"/>
    <w:qFormat/>
    <w:rsid w:val="00467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2AF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19117A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6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6F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6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6F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md.rks-gov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d.rks-gov.n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d.rks-gov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.rks-gov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d.rks-gov.net/" TargetMode="External"/><Relationship Id="rId10" Type="http://schemas.openxmlformats.org/officeDocument/2006/relationships/hyperlink" Target="https://md.rks-g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.rks-gov.net/" TargetMode="External"/><Relationship Id="rId14" Type="http://schemas.openxmlformats.org/officeDocument/2006/relationships/hyperlink" Target="https://md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F54C-E5F5-4F74-BAB4-1EBA9340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</dc:creator>
  <cp:keywords/>
  <cp:lastModifiedBy>Fisnik Zabeli</cp:lastModifiedBy>
  <cp:revision>2</cp:revision>
  <dcterms:created xsi:type="dcterms:W3CDTF">2025-11-06T13:36:00Z</dcterms:created>
  <dcterms:modified xsi:type="dcterms:W3CDTF">2025-11-06T13:36:00Z</dcterms:modified>
</cp:coreProperties>
</file>